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9634" w14:textId="77777777" w:rsidR="00C03D19" w:rsidRPr="00AC5C5C" w:rsidRDefault="00C03D19" w:rsidP="00C03D19">
      <w:pPr>
        <w:pBdr>
          <w:bottom w:val="single" w:sz="12" w:space="1" w:color="auto"/>
        </w:pBdr>
        <w:spacing w:line="276" w:lineRule="auto"/>
        <w:jc w:val="center"/>
        <w:rPr>
          <w:b/>
          <w:bCs/>
        </w:rPr>
      </w:pPr>
      <w:bookmarkStart w:id="0" w:name="_Hlk113028195"/>
      <w:bookmarkStart w:id="1" w:name="_Hlk118371728"/>
      <w:r w:rsidRPr="00AC5C5C">
        <w:rPr>
          <w:b/>
          <w:bCs/>
        </w:rPr>
        <w:t>SUPREME COURT OF QUEENSLAND</w:t>
      </w:r>
    </w:p>
    <w:p w14:paraId="750132C3" w14:textId="77777777" w:rsidR="00C03D19" w:rsidRPr="00AC5C5C" w:rsidRDefault="00C03D19" w:rsidP="00C03D19">
      <w:pPr>
        <w:pBdr>
          <w:bottom w:val="single" w:sz="12" w:space="1" w:color="auto"/>
        </w:pBdr>
        <w:spacing w:line="276" w:lineRule="auto"/>
        <w:jc w:val="center"/>
        <w:rPr>
          <w:b/>
          <w:bCs/>
        </w:rPr>
      </w:pPr>
    </w:p>
    <w:p w14:paraId="4A055601" w14:textId="77777777" w:rsidR="00C03D19" w:rsidRPr="00AC5C5C" w:rsidRDefault="00C03D19" w:rsidP="00C03D19">
      <w:pPr>
        <w:spacing w:line="276" w:lineRule="auto"/>
        <w:jc w:val="center"/>
        <w:rPr>
          <w:b/>
          <w:bCs/>
        </w:rPr>
      </w:pPr>
    </w:p>
    <w:p w14:paraId="49C1453F" w14:textId="60315577" w:rsidR="00C03D19" w:rsidRPr="00AC5C5C" w:rsidRDefault="00FC3D67" w:rsidP="00C03D19">
      <w:pPr>
        <w:pBdr>
          <w:bottom w:val="single" w:sz="12" w:space="1" w:color="auto"/>
        </w:pBdr>
        <w:spacing w:line="276" w:lineRule="auto"/>
        <w:jc w:val="center"/>
        <w:rPr>
          <w:b/>
          <w:bCs/>
        </w:rPr>
      </w:pPr>
      <w:r>
        <w:rPr>
          <w:b/>
          <w:bCs/>
        </w:rPr>
        <w:t xml:space="preserve">COMMERCIAL LIST </w:t>
      </w:r>
      <w:r w:rsidR="007A3027">
        <w:rPr>
          <w:b/>
          <w:bCs/>
        </w:rPr>
        <w:t xml:space="preserve">NOTE ABOUT </w:t>
      </w:r>
      <w:r w:rsidR="0005214B">
        <w:rPr>
          <w:b/>
          <w:bCs/>
        </w:rPr>
        <w:t>EXPERT EVIDENCE</w:t>
      </w:r>
    </w:p>
    <w:bookmarkEnd w:id="0"/>
    <w:p w14:paraId="168A5669" w14:textId="77777777" w:rsidR="00C03D19" w:rsidRPr="00AC5C5C" w:rsidRDefault="00C03D19" w:rsidP="00C03D19">
      <w:pPr>
        <w:pBdr>
          <w:bottom w:val="single" w:sz="12" w:space="1" w:color="auto"/>
        </w:pBdr>
        <w:spacing w:line="276" w:lineRule="auto"/>
        <w:jc w:val="center"/>
        <w:rPr>
          <w:b/>
          <w:bCs/>
        </w:rPr>
      </w:pPr>
    </w:p>
    <w:bookmarkEnd w:id="1"/>
    <w:p w14:paraId="6573C476" w14:textId="77777777" w:rsidR="00B078DE" w:rsidRDefault="00B078DE" w:rsidP="00B078DE">
      <w:pPr>
        <w:tabs>
          <w:tab w:val="left" w:pos="284"/>
        </w:tabs>
        <w:spacing w:line="360" w:lineRule="auto"/>
        <w:jc w:val="both"/>
        <w:rPr>
          <w:b/>
          <w:bCs/>
        </w:rPr>
      </w:pPr>
    </w:p>
    <w:p w14:paraId="7CFEDD2C" w14:textId="45EEB010" w:rsidR="00FC3D67" w:rsidRDefault="00BF713D"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 xml:space="preserve">Chapter 11, Part 5 of the </w:t>
      </w:r>
      <w:r>
        <w:rPr>
          <w:rFonts w:ascii="Times New Roman" w:hAnsi="Times New Roman" w:cs="Times New Roman"/>
          <w:i/>
          <w:iCs/>
        </w:rPr>
        <w:t xml:space="preserve">Uniform Civil Procedure Rules 1999 </w:t>
      </w:r>
      <w:r>
        <w:rPr>
          <w:rFonts w:ascii="Times New Roman" w:hAnsi="Times New Roman" w:cs="Times New Roman"/>
        </w:rPr>
        <w:t xml:space="preserve">(Qld) applies to all </w:t>
      </w:r>
      <w:r w:rsidR="006F2AA1">
        <w:rPr>
          <w:rFonts w:ascii="Times New Roman" w:hAnsi="Times New Roman" w:cs="Times New Roman"/>
        </w:rPr>
        <w:t>proceedings</w:t>
      </w:r>
      <w:r>
        <w:rPr>
          <w:rFonts w:ascii="Times New Roman" w:hAnsi="Times New Roman" w:cs="Times New Roman"/>
        </w:rPr>
        <w:t xml:space="preserve"> on the Commercial List.  </w:t>
      </w:r>
    </w:p>
    <w:p w14:paraId="70E5204A" w14:textId="60494A88" w:rsidR="006F2AA1" w:rsidRPr="006F2AA1" w:rsidRDefault="006F2AA1" w:rsidP="006F2AA1">
      <w:pPr>
        <w:pStyle w:val="ListParagraph"/>
        <w:spacing w:after="120" w:line="360" w:lineRule="auto"/>
        <w:contextualSpacing w:val="0"/>
        <w:jc w:val="both"/>
        <w:rPr>
          <w:rFonts w:ascii="Times New Roman" w:hAnsi="Times New Roman" w:cs="Times New Roman"/>
          <w:b/>
          <w:bCs/>
        </w:rPr>
      </w:pPr>
      <w:r>
        <w:rPr>
          <w:rFonts w:ascii="Times New Roman" w:hAnsi="Times New Roman" w:cs="Times New Roman"/>
          <w:b/>
          <w:bCs/>
        </w:rPr>
        <w:t>Preparation of expert evidence</w:t>
      </w:r>
    </w:p>
    <w:p w14:paraId="75757CC0" w14:textId="5E2ED437" w:rsidR="00C03D19" w:rsidRDefault="00FC3D67"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W</w:t>
      </w:r>
      <w:r w:rsidR="00BF713D">
        <w:rPr>
          <w:rFonts w:ascii="Times New Roman" w:hAnsi="Times New Roman" w:cs="Times New Roman"/>
        </w:rPr>
        <w:t xml:space="preserve">hen a </w:t>
      </w:r>
      <w:r w:rsidR="006F2AA1">
        <w:rPr>
          <w:rFonts w:ascii="Times New Roman" w:hAnsi="Times New Roman" w:cs="Times New Roman"/>
        </w:rPr>
        <w:t xml:space="preserve">proceeding </w:t>
      </w:r>
      <w:r w:rsidR="00BF713D">
        <w:rPr>
          <w:rFonts w:ascii="Times New Roman" w:hAnsi="Times New Roman" w:cs="Times New Roman"/>
        </w:rPr>
        <w:t xml:space="preserve">is placed on the Commercial List, the parties are expected to </w:t>
      </w:r>
      <w:proofErr w:type="gramStart"/>
      <w:r w:rsidR="00BF713D">
        <w:rPr>
          <w:rFonts w:ascii="Times New Roman" w:hAnsi="Times New Roman" w:cs="Times New Roman"/>
        </w:rPr>
        <w:t>give early consideration to</w:t>
      </w:r>
      <w:proofErr w:type="gramEnd"/>
      <w:r w:rsidR="00BF713D">
        <w:rPr>
          <w:rFonts w:ascii="Times New Roman" w:hAnsi="Times New Roman" w:cs="Times New Roman"/>
        </w:rPr>
        <w:t xml:space="preserve"> whether expert evidence is to be called in the proceeding</w:t>
      </w:r>
      <w:r>
        <w:rPr>
          <w:rFonts w:ascii="Times New Roman" w:hAnsi="Times New Roman" w:cs="Times New Roman"/>
        </w:rPr>
        <w:t xml:space="preserve">. In a usual case, the parties will be expected to address the need for expert evidence at the first review. </w:t>
      </w:r>
    </w:p>
    <w:p w14:paraId="459021D0" w14:textId="765C99A1" w:rsidR="006F2AA1" w:rsidRDefault="006F2AA1"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 xml:space="preserve">The retainer of any expert </w:t>
      </w:r>
      <w:r w:rsidR="00BF73EB">
        <w:rPr>
          <w:rFonts w:ascii="Times New Roman" w:hAnsi="Times New Roman" w:cs="Times New Roman"/>
        </w:rPr>
        <w:t xml:space="preserve">always </w:t>
      </w:r>
      <w:r>
        <w:rPr>
          <w:rFonts w:ascii="Times New Roman" w:hAnsi="Times New Roman" w:cs="Times New Roman"/>
        </w:rPr>
        <w:t xml:space="preserve">remains subject to the objects of rule 5 of the UCPR. The parties are not to retain an expert </w:t>
      </w:r>
      <w:r w:rsidR="00BF73EB">
        <w:rPr>
          <w:rFonts w:ascii="Times New Roman" w:hAnsi="Times New Roman" w:cs="Times New Roman"/>
        </w:rPr>
        <w:t xml:space="preserve">whose availability to prepare and complete a report is likely to cause undue delay to the efficient conduct and resolution of the proceeding. </w:t>
      </w:r>
      <w:r>
        <w:rPr>
          <w:rFonts w:ascii="Times New Roman" w:hAnsi="Times New Roman" w:cs="Times New Roman"/>
        </w:rPr>
        <w:t xml:space="preserve"> </w:t>
      </w:r>
    </w:p>
    <w:p w14:paraId="0E23B9A2" w14:textId="7217027D" w:rsidR="00FC3D67" w:rsidRDefault="00BF713D"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Where contentious expert evidence is to be adduced in a proceeding, the questions to be answered by the expert are, as far as possible, to be those specified by the Court or agreed by the parties</w:t>
      </w:r>
      <w:r w:rsidR="00FC3D67">
        <w:rPr>
          <w:rFonts w:ascii="Times New Roman" w:hAnsi="Times New Roman" w:cs="Times New Roman"/>
        </w:rPr>
        <w:t xml:space="preserve">. Questions </w:t>
      </w:r>
      <w:r w:rsidR="006F2AA1">
        <w:rPr>
          <w:rFonts w:ascii="Times New Roman" w:hAnsi="Times New Roman" w:cs="Times New Roman"/>
        </w:rPr>
        <w:t xml:space="preserve">for an expert </w:t>
      </w:r>
      <w:r w:rsidR="00FC3D67">
        <w:rPr>
          <w:rFonts w:ascii="Times New Roman" w:hAnsi="Times New Roman" w:cs="Times New Roman"/>
        </w:rPr>
        <w:t xml:space="preserve">should be framed with a view to assisting the resolution </w:t>
      </w:r>
      <w:r>
        <w:rPr>
          <w:rFonts w:ascii="Times New Roman" w:hAnsi="Times New Roman" w:cs="Times New Roman"/>
        </w:rPr>
        <w:t xml:space="preserve">of a </w:t>
      </w:r>
      <w:r w:rsidR="00FC3D67">
        <w:rPr>
          <w:rFonts w:ascii="Times New Roman" w:hAnsi="Times New Roman" w:cs="Times New Roman"/>
        </w:rPr>
        <w:t xml:space="preserve">real </w:t>
      </w:r>
      <w:r>
        <w:rPr>
          <w:rFonts w:ascii="Times New Roman" w:hAnsi="Times New Roman" w:cs="Times New Roman"/>
        </w:rPr>
        <w:t xml:space="preserve">issue or </w:t>
      </w:r>
      <w:r w:rsidR="00FC3D67">
        <w:rPr>
          <w:rFonts w:ascii="Times New Roman" w:hAnsi="Times New Roman" w:cs="Times New Roman"/>
        </w:rPr>
        <w:t xml:space="preserve">real </w:t>
      </w:r>
      <w:r>
        <w:rPr>
          <w:rFonts w:ascii="Times New Roman" w:hAnsi="Times New Roman" w:cs="Times New Roman"/>
        </w:rPr>
        <w:t xml:space="preserve">issues in the proceeding.  </w:t>
      </w:r>
    </w:p>
    <w:p w14:paraId="686272A3" w14:textId="51CA3E7C" w:rsidR="00BF713D" w:rsidRDefault="00BF713D"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 xml:space="preserve">The parties </w:t>
      </w:r>
      <w:r w:rsidR="000043DB">
        <w:rPr>
          <w:rFonts w:ascii="Times New Roman" w:hAnsi="Times New Roman" w:cs="Times New Roman"/>
        </w:rPr>
        <w:t xml:space="preserve">should consider whether it is cost effective and expeditious to </w:t>
      </w:r>
      <w:r w:rsidR="00FC3D67">
        <w:rPr>
          <w:rFonts w:ascii="Times New Roman" w:hAnsi="Times New Roman" w:cs="Times New Roman"/>
        </w:rPr>
        <w:t xml:space="preserve">prepare </w:t>
      </w:r>
      <w:r>
        <w:rPr>
          <w:rFonts w:ascii="Times New Roman" w:hAnsi="Times New Roman" w:cs="Times New Roman"/>
        </w:rPr>
        <w:t>a joint statement of assumptions to be made by the experts including any competing assumptions to be made in the alternative.</w:t>
      </w:r>
    </w:p>
    <w:p w14:paraId="7EAA3431" w14:textId="2724B999" w:rsidR="000043DB" w:rsidRDefault="000043DB"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 xml:space="preserve">The unnecessary duplication of effort in preparing chronologies and other materials briefed to experts is to be avoided with the intent that experts in the same field are briefed with the same or similar materials. </w:t>
      </w:r>
    </w:p>
    <w:p w14:paraId="35A52BA6" w14:textId="715A9F41" w:rsidR="006F2AA1" w:rsidRPr="006F2AA1" w:rsidRDefault="006F2AA1" w:rsidP="006F2AA1">
      <w:pPr>
        <w:pStyle w:val="ListParagraph"/>
        <w:spacing w:after="120" w:line="360" w:lineRule="auto"/>
        <w:contextualSpacing w:val="0"/>
        <w:jc w:val="both"/>
        <w:rPr>
          <w:rFonts w:ascii="Times New Roman" w:hAnsi="Times New Roman" w:cs="Times New Roman"/>
          <w:b/>
          <w:bCs/>
        </w:rPr>
      </w:pPr>
      <w:r>
        <w:rPr>
          <w:rFonts w:ascii="Times New Roman" w:hAnsi="Times New Roman" w:cs="Times New Roman"/>
          <w:b/>
          <w:bCs/>
        </w:rPr>
        <w:t>Expert conferences</w:t>
      </w:r>
    </w:p>
    <w:p w14:paraId="570191F8" w14:textId="3106C402" w:rsidR="006F2AA1" w:rsidRDefault="00BF713D" w:rsidP="00BF713D">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Where contentious expert evidence is to be adduced, the Court will usually direct the expert</w:t>
      </w:r>
      <w:r w:rsidR="00FC3D67">
        <w:rPr>
          <w:rFonts w:ascii="Times New Roman" w:hAnsi="Times New Roman" w:cs="Times New Roman"/>
        </w:rPr>
        <w:t>s</w:t>
      </w:r>
      <w:r>
        <w:rPr>
          <w:rFonts w:ascii="Times New Roman" w:hAnsi="Times New Roman" w:cs="Times New Roman"/>
        </w:rPr>
        <w:t xml:space="preserve"> to confer before trial</w:t>
      </w:r>
      <w:r w:rsidR="000043DB">
        <w:rPr>
          <w:rFonts w:ascii="Times New Roman" w:hAnsi="Times New Roman" w:cs="Times New Roman"/>
        </w:rPr>
        <w:t xml:space="preserve"> and may direct the experts to confer before they have completed their respective reports. </w:t>
      </w:r>
      <w:r w:rsidR="006F2AA1">
        <w:rPr>
          <w:rFonts w:ascii="Times New Roman" w:hAnsi="Times New Roman" w:cs="Times New Roman"/>
        </w:rPr>
        <w:t xml:space="preserve">It is important that experts </w:t>
      </w:r>
      <w:r w:rsidR="006F2AA1">
        <w:rPr>
          <w:rFonts w:ascii="Times New Roman" w:hAnsi="Times New Roman" w:cs="Times New Roman"/>
        </w:rPr>
        <w:lastRenderedPageBreak/>
        <w:t xml:space="preserve">are instructed that the code of conduct </w:t>
      </w:r>
      <w:r w:rsidR="000043DB">
        <w:rPr>
          <w:rFonts w:ascii="Times New Roman" w:hAnsi="Times New Roman" w:cs="Times New Roman"/>
        </w:rPr>
        <w:t>(</w:t>
      </w:r>
      <w:r w:rsidR="006F2AA1">
        <w:rPr>
          <w:rFonts w:ascii="Times New Roman" w:hAnsi="Times New Roman" w:cs="Times New Roman"/>
        </w:rPr>
        <w:t xml:space="preserve">as defined by r 425 UCPR) applies with full force and effect to the conference and the preparation of the joint report. </w:t>
      </w:r>
    </w:p>
    <w:p w14:paraId="6880766D" w14:textId="6940BD0C" w:rsidR="00BF713D" w:rsidRDefault="00BF713D" w:rsidP="0005214B">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Following any </w:t>
      </w:r>
      <w:r w:rsidR="00FC3D67">
        <w:rPr>
          <w:rFonts w:ascii="Times New Roman" w:hAnsi="Times New Roman" w:cs="Times New Roman"/>
        </w:rPr>
        <w:t>conference,</w:t>
      </w:r>
      <w:r>
        <w:rPr>
          <w:rFonts w:ascii="Times New Roman" w:hAnsi="Times New Roman" w:cs="Times New Roman"/>
        </w:rPr>
        <w:t xml:space="preserve"> the experts are to </w:t>
      </w:r>
      <w:proofErr w:type="gramStart"/>
      <w:r>
        <w:rPr>
          <w:rFonts w:ascii="Times New Roman" w:hAnsi="Times New Roman" w:cs="Times New Roman"/>
        </w:rPr>
        <w:t>prepare a joint report for the Court (at all times</w:t>
      </w:r>
      <w:proofErr w:type="gramEnd"/>
      <w:r>
        <w:rPr>
          <w:rFonts w:ascii="Times New Roman" w:hAnsi="Times New Roman" w:cs="Times New Roman"/>
        </w:rPr>
        <w:t xml:space="preserve"> mindful of their obligations under the Code of Conduct) stating:</w:t>
      </w:r>
    </w:p>
    <w:p w14:paraId="0B1DAED0" w14:textId="5D24D65E" w:rsidR="00BF713D" w:rsidRDefault="00BF713D" w:rsidP="00BF713D">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the matter</w:t>
      </w:r>
      <w:r w:rsidR="00FC3D67">
        <w:rPr>
          <w:rFonts w:ascii="Times New Roman" w:hAnsi="Times New Roman" w:cs="Times New Roman"/>
        </w:rPr>
        <w:t>s</w:t>
      </w:r>
      <w:r>
        <w:rPr>
          <w:rFonts w:ascii="Times New Roman" w:hAnsi="Times New Roman" w:cs="Times New Roman"/>
        </w:rPr>
        <w:t xml:space="preserve"> upon which they were directed to </w:t>
      </w:r>
      <w:proofErr w:type="gramStart"/>
      <w:r>
        <w:rPr>
          <w:rFonts w:ascii="Times New Roman" w:hAnsi="Times New Roman" w:cs="Times New Roman"/>
        </w:rPr>
        <w:t>confer;</w:t>
      </w:r>
      <w:proofErr w:type="gramEnd"/>
    </w:p>
    <w:p w14:paraId="7C1B4FEE" w14:textId="3C59237E" w:rsidR="00BF713D" w:rsidRDefault="00BF713D" w:rsidP="00BF713D">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 xml:space="preserve">that they have met and discussed each matter upon which they have been directed to </w:t>
      </w:r>
      <w:proofErr w:type="gramStart"/>
      <w:r>
        <w:rPr>
          <w:rFonts w:ascii="Times New Roman" w:hAnsi="Times New Roman" w:cs="Times New Roman"/>
        </w:rPr>
        <w:t>confer;</w:t>
      </w:r>
      <w:proofErr w:type="gramEnd"/>
    </w:p>
    <w:p w14:paraId="24057EB9" w14:textId="77359A3E" w:rsidR="00BF713D" w:rsidRDefault="00BF713D" w:rsidP="00BF713D">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 xml:space="preserve">the matters on which they </w:t>
      </w:r>
      <w:proofErr w:type="gramStart"/>
      <w:r>
        <w:rPr>
          <w:rFonts w:ascii="Times New Roman" w:hAnsi="Times New Roman" w:cs="Times New Roman"/>
        </w:rPr>
        <w:t>agree;</w:t>
      </w:r>
      <w:proofErr w:type="gramEnd"/>
    </w:p>
    <w:p w14:paraId="29658416" w14:textId="505F1BD6" w:rsidR="00BF713D" w:rsidRDefault="00BF713D" w:rsidP="00BF713D">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the matters on which they disagree; and</w:t>
      </w:r>
    </w:p>
    <w:p w14:paraId="3AEA130E" w14:textId="73A15A96" w:rsidR="00BF713D" w:rsidRDefault="00BF713D" w:rsidP="00BF713D">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a concise statement of the reasons for any disagreement.</w:t>
      </w:r>
    </w:p>
    <w:p w14:paraId="23770102" w14:textId="56CBFD34" w:rsidR="006F2AA1" w:rsidRDefault="006F2AA1" w:rsidP="006F2AA1">
      <w:pPr>
        <w:pStyle w:val="ListParagraph"/>
        <w:numPr>
          <w:ilvl w:val="0"/>
          <w:numId w:val="4"/>
        </w:numPr>
        <w:spacing w:after="120" w:line="360" w:lineRule="auto"/>
        <w:contextualSpacing w:val="0"/>
        <w:jc w:val="both"/>
        <w:rPr>
          <w:rFonts w:ascii="Times New Roman" w:hAnsi="Times New Roman" w:cs="Times New Roman"/>
        </w:rPr>
      </w:pPr>
      <w:r>
        <w:rPr>
          <w:rFonts w:ascii="Times New Roman" w:hAnsi="Times New Roman" w:cs="Times New Roman"/>
        </w:rPr>
        <w:t>In a case where the experts have experienced difficult</w:t>
      </w:r>
      <w:r w:rsidR="000043DB">
        <w:rPr>
          <w:rFonts w:ascii="Times New Roman" w:hAnsi="Times New Roman" w:cs="Times New Roman"/>
        </w:rPr>
        <w:t>y</w:t>
      </w:r>
      <w:r>
        <w:rPr>
          <w:rFonts w:ascii="Times New Roman" w:hAnsi="Times New Roman" w:cs="Times New Roman"/>
        </w:rPr>
        <w:t xml:space="preserve"> in preparing the joint report, a commercial list judge may direct that the preparation of the joint report be facilitated by the Resolution Registrar or another suitably qualified person. </w:t>
      </w:r>
    </w:p>
    <w:p w14:paraId="2AC3EDA7" w14:textId="67C0271A" w:rsidR="006F2AA1" w:rsidRPr="006F2AA1" w:rsidRDefault="006F2AA1" w:rsidP="006F2AA1">
      <w:pPr>
        <w:pStyle w:val="ListParagraph"/>
        <w:spacing w:after="120" w:line="360" w:lineRule="auto"/>
        <w:contextualSpacing w:val="0"/>
        <w:jc w:val="both"/>
        <w:rPr>
          <w:rFonts w:ascii="Times New Roman" w:hAnsi="Times New Roman" w:cs="Times New Roman"/>
          <w:b/>
          <w:bCs/>
        </w:rPr>
      </w:pPr>
      <w:r>
        <w:rPr>
          <w:rFonts w:ascii="Times New Roman" w:hAnsi="Times New Roman" w:cs="Times New Roman"/>
          <w:b/>
          <w:bCs/>
        </w:rPr>
        <w:t>Expert evidence during a hearing</w:t>
      </w:r>
    </w:p>
    <w:p w14:paraId="101D158B" w14:textId="72AC7C70" w:rsidR="00FC3D67" w:rsidRDefault="006F2AA1" w:rsidP="00FC3D67">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A commercial list judge may give directions to the effect that:</w:t>
      </w:r>
    </w:p>
    <w:p w14:paraId="6441E3EF" w14:textId="65C21E66" w:rsidR="006F2AA1" w:rsidRDefault="006F2AA1" w:rsidP="006F2AA1">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 xml:space="preserve">expert evidence at trial will follow the factual evidence upon which the expert evidence is </w:t>
      </w:r>
      <w:proofErr w:type="gramStart"/>
      <w:r>
        <w:rPr>
          <w:rFonts w:ascii="Times New Roman" w:hAnsi="Times New Roman" w:cs="Times New Roman"/>
        </w:rPr>
        <w:t>predicated;</w:t>
      </w:r>
      <w:proofErr w:type="gramEnd"/>
    </w:p>
    <w:p w14:paraId="69A20D81" w14:textId="3EE1ACBC" w:rsidR="006F2AA1" w:rsidRDefault="006F2AA1" w:rsidP="006F2AA1">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two or more experts present their evidence concurrently and may, if permitted by the judge, question each other in relation to their evidence.</w:t>
      </w:r>
    </w:p>
    <w:p w14:paraId="373FC13F" w14:textId="77777777" w:rsidR="00C03D19" w:rsidRPr="00AC5C5C" w:rsidRDefault="00C03D19" w:rsidP="00B078DE">
      <w:pPr>
        <w:spacing w:line="360" w:lineRule="auto"/>
        <w:jc w:val="both"/>
      </w:pPr>
    </w:p>
    <w:sectPr w:rsidR="00C03D19" w:rsidRPr="00AC5C5C" w:rsidSect="0063225A">
      <w:headerReference w:type="even" r:id="rId7"/>
      <w:headerReference w:type="default" r:id="rId8"/>
      <w:footerReference w:type="even" r:id="rId9"/>
      <w:footerReference w:type="default" r:id="rId10"/>
      <w:headerReference w:type="first" r:id="rId11"/>
      <w:footerReference w:type="first" r:id="rId12"/>
      <w:pgSz w:w="11906" w:h="16838"/>
      <w:pgMar w:top="16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26E5" w14:textId="77777777" w:rsidR="00DA07F0" w:rsidRDefault="007A3027">
      <w:r>
        <w:separator/>
      </w:r>
    </w:p>
  </w:endnote>
  <w:endnote w:type="continuationSeparator" w:id="0">
    <w:p w14:paraId="504E7607" w14:textId="77777777" w:rsidR="00DA07F0" w:rsidRDefault="007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85" w14:textId="77777777" w:rsidR="00E22559" w:rsidRDefault="00E2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8163" w14:textId="77777777" w:rsidR="00E22559" w:rsidRDefault="00E22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6756" w14:textId="77777777" w:rsidR="00E22559" w:rsidRDefault="00E2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AE0D" w14:textId="77777777" w:rsidR="00DA07F0" w:rsidRDefault="007A3027">
      <w:r>
        <w:separator/>
      </w:r>
    </w:p>
  </w:footnote>
  <w:footnote w:type="continuationSeparator" w:id="0">
    <w:p w14:paraId="3411D53E" w14:textId="77777777" w:rsidR="00DA07F0" w:rsidRDefault="007A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B97" w14:textId="3B69B424" w:rsidR="00944C33" w:rsidRDefault="00E2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06572"/>
      <w:docPartObj>
        <w:docPartGallery w:val="Watermarks"/>
        <w:docPartUnique/>
      </w:docPartObj>
    </w:sdtPr>
    <w:sdtContent>
      <w:p w14:paraId="3FA2F432" w14:textId="1EFAA42F" w:rsidR="00E22559" w:rsidRDefault="00E22559">
        <w:pPr>
          <w:pStyle w:val="Header"/>
        </w:pPr>
        <w:r>
          <w:rPr>
            <w:noProof/>
          </w:rPr>
          <w:pict w14:anchorId="61309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FD4" w14:textId="7770BF59" w:rsidR="00944C33" w:rsidRDefault="00E2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84F"/>
    <w:multiLevelType w:val="hybridMultilevel"/>
    <w:tmpl w:val="B6F6A2A0"/>
    <w:lvl w:ilvl="0" w:tplc="E2B8734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214180"/>
    <w:multiLevelType w:val="hybridMultilevel"/>
    <w:tmpl w:val="3E68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B61B1"/>
    <w:multiLevelType w:val="hybridMultilevel"/>
    <w:tmpl w:val="C8EC7F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940081"/>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99078E5"/>
    <w:multiLevelType w:val="hybridMultilevel"/>
    <w:tmpl w:val="83443F1E"/>
    <w:lvl w:ilvl="0" w:tplc="87206742">
      <w:start w:val="1"/>
      <w:numFmt w:val="decimal"/>
      <w:lvlText w:val="%1."/>
      <w:lvlJc w:val="left"/>
      <w:pPr>
        <w:tabs>
          <w:tab w:val="num" w:pos="720"/>
        </w:tabs>
        <w:ind w:left="720" w:hanging="720"/>
      </w:pPr>
      <w:rPr>
        <w:b w:val="0"/>
        <w:bCs w:val="0"/>
        <w:sz w:val="22"/>
        <w:szCs w:val="22"/>
      </w:rPr>
    </w:lvl>
    <w:lvl w:ilvl="1" w:tplc="42E24778">
      <w:start w:val="1"/>
      <w:numFmt w:val="lowerLetter"/>
      <w:lvlText w:val="(%2)"/>
      <w:lvlJc w:val="left"/>
      <w:pPr>
        <w:ind w:left="1440" w:hanging="360"/>
      </w:pPr>
      <w:rPr>
        <w:rFonts w:ascii="Times New Roman" w:eastAsiaTheme="minorHAnsi" w:hAnsi="Times New Roman"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8D75D12"/>
    <w:multiLevelType w:val="hybridMultilevel"/>
    <w:tmpl w:val="DFFA3C3A"/>
    <w:lvl w:ilvl="0" w:tplc="B08A28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19"/>
    <w:rsid w:val="000043DB"/>
    <w:rsid w:val="0005214B"/>
    <w:rsid w:val="003A3535"/>
    <w:rsid w:val="003E61BD"/>
    <w:rsid w:val="004E23B1"/>
    <w:rsid w:val="0052529E"/>
    <w:rsid w:val="005C25A6"/>
    <w:rsid w:val="00666E2E"/>
    <w:rsid w:val="006910CD"/>
    <w:rsid w:val="006F2AA1"/>
    <w:rsid w:val="007A3027"/>
    <w:rsid w:val="008C6B97"/>
    <w:rsid w:val="00A807C2"/>
    <w:rsid w:val="00AC5C5C"/>
    <w:rsid w:val="00AE6818"/>
    <w:rsid w:val="00B078DE"/>
    <w:rsid w:val="00B645EA"/>
    <w:rsid w:val="00BF713D"/>
    <w:rsid w:val="00BF73EB"/>
    <w:rsid w:val="00C03D19"/>
    <w:rsid w:val="00DA07F0"/>
    <w:rsid w:val="00DD75EB"/>
    <w:rsid w:val="00E16836"/>
    <w:rsid w:val="00E22559"/>
    <w:rsid w:val="00FC3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36560"/>
  <w15:docId w15:val="{C3A36994-1E4F-4938-99FA-47B3B98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1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D19"/>
    <w:pPr>
      <w:spacing w:before="100" w:beforeAutospacing="1" w:after="100" w:afterAutospacing="1"/>
    </w:pPr>
  </w:style>
  <w:style w:type="paragraph" w:styleId="Header">
    <w:name w:val="header"/>
    <w:basedOn w:val="Normal"/>
    <w:link w:val="HeaderChar"/>
    <w:rsid w:val="00C03D19"/>
    <w:pPr>
      <w:tabs>
        <w:tab w:val="center" w:pos="4153"/>
        <w:tab w:val="right" w:pos="8306"/>
      </w:tabs>
    </w:pPr>
  </w:style>
  <w:style w:type="character" w:customStyle="1" w:styleId="HeaderChar">
    <w:name w:val="Header Char"/>
    <w:basedOn w:val="DefaultParagraphFont"/>
    <w:link w:val="Header"/>
    <w:rsid w:val="00C03D19"/>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03D19"/>
    <w:pPr>
      <w:ind w:left="720"/>
      <w:contextualSpacing/>
    </w:pPr>
    <w:rPr>
      <w:rFonts w:asciiTheme="minorHAnsi" w:eastAsiaTheme="minorHAnsi" w:hAnsiTheme="minorHAnsi" w:cstheme="minorBidi"/>
      <w:lang w:val="en-GB" w:eastAsia="en-US"/>
    </w:rPr>
  </w:style>
  <w:style w:type="character" w:styleId="Hyperlink">
    <w:name w:val="Hyperlink"/>
    <w:unhideWhenUsed/>
    <w:rsid w:val="00C03D19"/>
    <w:rPr>
      <w:color w:val="0563C1"/>
      <w:u w:val="single"/>
    </w:rPr>
  </w:style>
  <w:style w:type="table" w:styleId="TableGrid">
    <w:name w:val="Table Grid"/>
    <w:basedOn w:val="TableNormal"/>
    <w:uiPriority w:val="39"/>
    <w:rsid w:val="00C0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2559"/>
    <w:pPr>
      <w:tabs>
        <w:tab w:val="center" w:pos="4513"/>
        <w:tab w:val="right" w:pos="9026"/>
      </w:tabs>
    </w:pPr>
  </w:style>
  <w:style w:type="character" w:customStyle="1" w:styleId="FooterChar">
    <w:name w:val="Footer Char"/>
    <w:basedOn w:val="DefaultParagraphFont"/>
    <w:link w:val="Footer"/>
    <w:uiPriority w:val="99"/>
    <w:rsid w:val="00E22559"/>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Applegarth</dc:creator>
  <cp:keywords/>
  <dc:description/>
  <cp:lastModifiedBy>Justice Martin</cp:lastModifiedBy>
  <cp:revision>2</cp:revision>
  <cp:lastPrinted>2022-11-30T22:05:00Z</cp:lastPrinted>
  <dcterms:created xsi:type="dcterms:W3CDTF">2022-12-04T22:32:00Z</dcterms:created>
  <dcterms:modified xsi:type="dcterms:W3CDTF">2022-12-04T22:32:00Z</dcterms:modified>
</cp:coreProperties>
</file>