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FEAF" w14:textId="77777777" w:rsidR="00495D5C" w:rsidRPr="00781FB2" w:rsidRDefault="00495D5C" w:rsidP="00495D5C">
      <w:pPr>
        <w:pBdr>
          <w:bottom w:val="single" w:sz="12" w:space="1" w:color="auto"/>
        </w:pBdr>
        <w:spacing w:line="276" w:lineRule="auto"/>
        <w:jc w:val="center"/>
        <w:rPr>
          <w:rFonts w:ascii="Times New Roman" w:hAnsi="Times New Roman" w:cs="Times New Roman"/>
          <w:b/>
          <w:bCs/>
          <w:sz w:val="24"/>
          <w:szCs w:val="24"/>
        </w:rPr>
      </w:pPr>
      <w:bookmarkStart w:id="0" w:name="_Hlk113028195"/>
      <w:bookmarkStart w:id="1" w:name="_Hlk118366231"/>
      <w:bookmarkStart w:id="2" w:name="_Hlk118284486"/>
      <w:r w:rsidRPr="00781FB2">
        <w:rPr>
          <w:rFonts w:ascii="Times New Roman" w:hAnsi="Times New Roman" w:cs="Times New Roman"/>
          <w:b/>
          <w:bCs/>
          <w:sz w:val="24"/>
          <w:szCs w:val="24"/>
        </w:rPr>
        <w:t>SUPREME COURT OF QUEENSLAND</w:t>
      </w:r>
    </w:p>
    <w:p w14:paraId="603D4C5F" w14:textId="77777777" w:rsidR="00495D5C" w:rsidRPr="00781FB2" w:rsidRDefault="00495D5C" w:rsidP="00495D5C">
      <w:pPr>
        <w:pBdr>
          <w:bottom w:val="single" w:sz="12" w:space="1" w:color="auto"/>
        </w:pBdr>
        <w:spacing w:line="276" w:lineRule="auto"/>
        <w:jc w:val="center"/>
        <w:rPr>
          <w:rFonts w:ascii="Times New Roman" w:hAnsi="Times New Roman" w:cs="Times New Roman"/>
          <w:b/>
          <w:bCs/>
          <w:sz w:val="24"/>
          <w:szCs w:val="24"/>
        </w:rPr>
      </w:pPr>
    </w:p>
    <w:p w14:paraId="2AA7CE9E" w14:textId="77777777" w:rsidR="00495D5C" w:rsidRPr="00781FB2" w:rsidRDefault="00495D5C" w:rsidP="00495D5C">
      <w:pPr>
        <w:spacing w:line="276" w:lineRule="auto"/>
        <w:jc w:val="center"/>
        <w:rPr>
          <w:rFonts w:ascii="Times New Roman" w:hAnsi="Times New Roman" w:cs="Times New Roman"/>
          <w:b/>
          <w:bCs/>
          <w:sz w:val="24"/>
          <w:szCs w:val="24"/>
        </w:rPr>
      </w:pPr>
    </w:p>
    <w:p w14:paraId="02AE5F90" w14:textId="3747BF9B" w:rsidR="00495D5C" w:rsidRPr="00781FB2" w:rsidRDefault="00495D5C" w:rsidP="00495D5C">
      <w:pPr>
        <w:pBdr>
          <w:bottom w:val="single" w:sz="12" w:space="1" w:color="auto"/>
        </w:pBdr>
        <w:spacing w:line="276" w:lineRule="auto"/>
        <w:jc w:val="center"/>
        <w:rPr>
          <w:rFonts w:ascii="Times New Roman" w:hAnsi="Times New Roman" w:cs="Times New Roman"/>
          <w:b/>
          <w:bCs/>
          <w:sz w:val="24"/>
          <w:szCs w:val="24"/>
        </w:rPr>
      </w:pPr>
      <w:r w:rsidRPr="00781FB2">
        <w:rPr>
          <w:rFonts w:ascii="Times New Roman" w:hAnsi="Times New Roman" w:cs="Times New Roman"/>
          <w:b/>
          <w:bCs/>
          <w:sz w:val="24"/>
          <w:szCs w:val="24"/>
        </w:rPr>
        <w:t>COMMERCIAL LIST NOTE TO PARTIES AND THE PROFESSION</w:t>
      </w:r>
    </w:p>
    <w:bookmarkEnd w:id="0"/>
    <w:p w14:paraId="7694DAD2" w14:textId="77777777" w:rsidR="00495D5C" w:rsidRPr="00781FB2" w:rsidRDefault="00495D5C" w:rsidP="00495D5C">
      <w:pPr>
        <w:pBdr>
          <w:bottom w:val="single" w:sz="12" w:space="1" w:color="auto"/>
        </w:pBdr>
        <w:spacing w:line="276" w:lineRule="auto"/>
        <w:jc w:val="center"/>
        <w:rPr>
          <w:rFonts w:ascii="Times New Roman" w:hAnsi="Times New Roman" w:cs="Times New Roman"/>
          <w:b/>
          <w:bCs/>
          <w:sz w:val="24"/>
          <w:szCs w:val="24"/>
        </w:rPr>
      </w:pPr>
    </w:p>
    <w:bookmarkEnd w:id="1"/>
    <w:p w14:paraId="4D6B4F05" w14:textId="77777777" w:rsidR="00DD01F7" w:rsidRDefault="00DD01F7" w:rsidP="00DD01F7">
      <w:pPr>
        <w:tabs>
          <w:tab w:val="left" w:pos="284"/>
        </w:tabs>
        <w:spacing w:after="0" w:line="360" w:lineRule="auto"/>
        <w:jc w:val="both"/>
        <w:rPr>
          <w:rFonts w:ascii="Times New Roman" w:hAnsi="Times New Roman" w:cs="Times New Roman"/>
          <w:b/>
          <w:bCs/>
          <w:sz w:val="24"/>
          <w:szCs w:val="24"/>
        </w:rPr>
      </w:pPr>
    </w:p>
    <w:p w14:paraId="0CE998C0" w14:textId="4FC1807E" w:rsidR="00735453" w:rsidRPr="00B71BF7" w:rsidRDefault="00495D5C" w:rsidP="00DD01F7">
      <w:pPr>
        <w:tabs>
          <w:tab w:val="left" w:pos="284"/>
        </w:tabs>
        <w:spacing w:line="360" w:lineRule="auto"/>
        <w:jc w:val="both"/>
        <w:rPr>
          <w:rFonts w:ascii="Times New Roman" w:hAnsi="Times New Roman" w:cs="Times New Roman"/>
          <w:b/>
          <w:bCs/>
          <w:sz w:val="24"/>
          <w:szCs w:val="24"/>
        </w:rPr>
      </w:pPr>
      <w:bookmarkStart w:id="3" w:name="_Hlk118368717"/>
      <w:r w:rsidRPr="00B71BF7">
        <w:rPr>
          <w:rFonts w:ascii="Times New Roman" w:hAnsi="Times New Roman" w:cs="Times New Roman"/>
          <w:b/>
          <w:bCs/>
          <w:sz w:val="24"/>
          <w:szCs w:val="24"/>
        </w:rPr>
        <w:t>Purpose</w:t>
      </w:r>
      <w:bookmarkEnd w:id="3"/>
    </w:p>
    <w:p w14:paraId="4E72B6A5" w14:textId="7BE33147" w:rsidR="00AE5622" w:rsidRDefault="00495D5C" w:rsidP="00D946A0">
      <w:pPr>
        <w:pStyle w:val="ListParagraph"/>
        <w:numPr>
          <w:ilvl w:val="0"/>
          <w:numId w:val="1"/>
        </w:numPr>
        <w:spacing w:after="0" w:line="360" w:lineRule="auto"/>
        <w:jc w:val="both"/>
        <w:rPr>
          <w:rFonts w:ascii="Times New Roman" w:hAnsi="Times New Roman" w:cs="Times New Roman"/>
          <w:sz w:val="24"/>
          <w:szCs w:val="24"/>
        </w:rPr>
      </w:pPr>
      <w:bookmarkStart w:id="4" w:name="_Hlk113028244"/>
      <w:bookmarkStart w:id="5" w:name="_Hlk118366360"/>
      <w:r w:rsidRPr="00B71BF7">
        <w:rPr>
          <w:rFonts w:ascii="Times New Roman" w:hAnsi="Times New Roman" w:cs="Times New Roman"/>
          <w:sz w:val="24"/>
          <w:szCs w:val="24"/>
        </w:rPr>
        <w:t>This Note supplements Commercial List Practice Direction … of 2022</w:t>
      </w:r>
      <w:r w:rsidR="001248D7" w:rsidRPr="00B71BF7">
        <w:rPr>
          <w:rFonts w:ascii="Times New Roman" w:hAnsi="Times New Roman" w:cs="Times New Roman"/>
          <w:sz w:val="24"/>
          <w:szCs w:val="24"/>
        </w:rPr>
        <w:t xml:space="preserve"> and addresses practical matters to aid parties and the profession in ensuring that the Commercial List operates efficiently</w:t>
      </w:r>
      <w:bookmarkEnd w:id="4"/>
      <w:r w:rsidR="001248D7" w:rsidRPr="00B71BF7">
        <w:rPr>
          <w:rFonts w:ascii="Times New Roman" w:hAnsi="Times New Roman" w:cs="Times New Roman"/>
          <w:sz w:val="24"/>
          <w:szCs w:val="24"/>
        </w:rPr>
        <w:t>.</w:t>
      </w:r>
    </w:p>
    <w:bookmarkEnd w:id="5"/>
    <w:p w14:paraId="55E65F03" w14:textId="77777777" w:rsidR="00B71BF7" w:rsidRPr="00DD01F7" w:rsidRDefault="00B71BF7" w:rsidP="00DD01F7">
      <w:pPr>
        <w:spacing w:after="0" w:line="360" w:lineRule="auto"/>
        <w:jc w:val="both"/>
        <w:rPr>
          <w:rFonts w:ascii="Times New Roman" w:eastAsia="Times New Roman" w:hAnsi="Times New Roman" w:cs="Times New Roman"/>
          <w:sz w:val="24"/>
          <w:szCs w:val="24"/>
          <w:lang w:eastAsia="en-AU"/>
        </w:rPr>
      </w:pPr>
    </w:p>
    <w:p w14:paraId="2432536C" w14:textId="0C0A4B27" w:rsidR="00735453" w:rsidRPr="00B71BF7" w:rsidRDefault="00164EF5" w:rsidP="00DD01F7">
      <w:pPr>
        <w:tabs>
          <w:tab w:val="left" w:pos="284"/>
        </w:tabs>
        <w:spacing w:line="360" w:lineRule="auto"/>
        <w:jc w:val="both"/>
        <w:rPr>
          <w:rFonts w:ascii="Times New Roman" w:hAnsi="Times New Roman" w:cs="Times New Roman"/>
          <w:b/>
          <w:bCs/>
          <w:sz w:val="24"/>
          <w:szCs w:val="24"/>
        </w:rPr>
      </w:pPr>
      <w:r w:rsidRPr="00B71BF7">
        <w:rPr>
          <w:rFonts w:ascii="Times New Roman" w:hAnsi="Times New Roman" w:cs="Times New Roman"/>
          <w:b/>
          <w:bCs/>
          <w:sz w:val="24"/>
          <w:szCs w:val="24"/>
        </w:rPr>
        <w:t>Contact details</w:t>
      </w:r>
      <w:bookmarkEnd w:id="2"/>
    </w:p>
    <w:p w14:paraId="104B2C6B" w14:textId="5B6C8DF0" w:rsidR="00735453" w:rsidRDefault="001248D7" w:rsidP="00735453">
      <w:pPr>
        <w:pStyle w:val="ListParagraph"/>
        <w:numPr>
          <w:ilvl w:val="0"/>
          <w:numId w:val="1"/>
        </w:numPr>
        <w:spacing w:line="360" w:lineRule="auto"/>
        <w:jc w:val="both"/>
        <w:rPr>
          <w:rFonts w:ascii="Times New Roman" w:hAnsi="Times New Roman" w:cs="Times New Roman"/>
          <w:sz w:val="24"/>
          <w:szCs w:val="24"/>
        </w:rPr>
      </w:pPr>
      <w:r w:rsidRPr="00B71BF7">
        <w:rPr>
          <w:rFonts w:ascii="Times New Roman" w:hAnsi="Times New Roman" w:cs="Times New Roman"/>
          <w:sz w:val="24"/>
          <w:szCs w:val="24"/>
        </w:rPr>
        <w:t xml:space="preserve">The Commercial List </w:t>
      </w:r>
      <w:r w:rsidR="00517C06">
        <w:rPr>
          <w:rFonts w:ascii="Times New Roman" w:hAnsi="Times New Roman" w:cs="Times New Roman"/>
          <w:sz w:val="24"/>
          <w:szCs w:val="24"/>
        </w:rPr>
        <w:t>Principal</w:t>
      </w:r>
      <w:r w:rsidRPr="00B71BF7">
        <w:rPr>
          <w:rFonts w:ascii="Times New Roman" w:hAnsi="Times New Roman" w:cs="Times New Roman"/>
          <w:sz w:val="24"/>
          <w:szCs w:val="24"/>
        </w:rPr>
        <w:t xml:space="preserve"> Judge is Applegarth J.</w:t>
      </w:r>
    </w:p>
    <w:p w14:paraId="6E8E0E72" w14:textId="77777777" w:rsidR="0011006C" w:rsidRPr="0011006C" w:rsidRDefault="0011006C" w:rsidP="0011006C">
      <w:pPr>
        <w:pStyle w:val="ListParagraph"/>
        <w:spacing w:line="360" w:lineRule="auto"/>
        <w:jc w:val="both"/>
        <w:rPr>
          <w:rFonts w:ascii="Times New Roman" w:hAnsi="Times New Roman" w:cs="Times New Roman"/>
          <w:sz w:val="24"/>
          <w:szCs w:val="24"/>
        </w:rPr>
      </w:pPr>
    </w:p>
    <w:p w14:paraId="3A0AEFC3" w14:textId="58A33DE9" w:rsidR="001248D7" w:rsidRPr="00B71BF7" w:rsidRDefault="001248D7" w:rsidP="00D946A0">
      <w:pPr>
        <w:pStyle w:val="ListParagraph"/>
        <w:numPr>
          <w:ilvl w:val="0"/>
          <w:numId w:val="1"/>
        </w:numPr>
        <w:spacing w:line="360" w:lineRule="auto"/>
        <w:jc w:val="both"/>
        <w:rPr>
          <w:rFonts w:ascii="Times New Roman" w:hAnsi="Times New Roman" w:cs="Times New Roman"/>
          <w:sz w:val="24"/>
          <w:szCs w:val="24"/>
        </w:rPr>
      </w:pPr>
      <w:r w:rsidRPr="00B71BF7">
        <w:rPr>
          <w:rFonts w:ascii="Times New Roman" w:hAnsi="Times New Roman" w:cs="Times New Roman"/>
          <w:sz w:val="24"/>
          <w:szCs w:val="24"/>
        </w:rPr>
        <w:t>The Commercial List Judges and their contact details are:</w:t>
      </w:r>
    </w:p>
    <w:p w14:paraId="2A9A9E9F" w14:textId="7D102335" w:rsidR="001248D7" w:rsidRPr="00B71BF7" w:rsidRDefault="001248D7" w:rsidP="00D946A0">
      <w:pPr>
        <w:pStyle w:val="ListParagraph"/>
        <w:spacing w:line="360" w:lineRule="auto"/>
        <w:jc w:val="both"/>
        <w:rPr>
          <w:rFonts w:ascii="Times New Roman" w:hAnsi="Times New Roman" w:cs="Times New Roman"/>
          <w:sz w:val="24"/>
          <w:szCs w:val="24"/>
        </w:rPr>
      </w:pPr>
      <w:r w:rsidRPr="00B71BF7">
        <w:rPr>
          <w:rFonts w:ascii="Times New Roman" w:hAnsi="Times New Roman" w:cs="Times New Roman"/>
          <w:sz w:val="24"/>
          <w:szCs w:val="24"/>
        </w:rPr>
        <w:t>Applegarth J</w:t>
      </w:r>
      <w:r w:rsidR="000E2FA7">
        <w:rPr>
          <w:rFonts w:ascii="Times New Roman" w:hAnsi="Times New Roman" w:cs="Times New Roman"/>
          <w:sz w:val="24"/>
          <w:szCs w:val="24"/>
        </w:rPr>
        <w:t>.</w:t>
      </w:r>
      <w:r w:rsidR="000E2FA7">
        <w:rPr>
          <w:rFonts w:ascii="Times New Roman" w:hAnsi="Times New Roman" w:cs="Times New Roman"/>
          <w:sz w:val="24"/>
          <w:szCs w:val="24"/>
        </w:rPr>
        <w:tab/>
      </w:r>
      <w:r w:rsidRPr="00B71BF7">
        <w:rPr>
          <w:rFonts w:ascii="Times New Roman" w:hAnsi="Times New Roman" w:cs="Times New Roman"/>
          <w:sz w:val="24"/>
          <w:szCs w:val="24"/>
        </w:rPr>
        <w:t>07 3738 759</w:t>
      </w:r>
      <w:r w:rsidR="0014155D" w:rsidRPr="00B71BF7">
        <w:rPr>
          <w:rFonts w:ascii="Times New Roman" w:hAnsi="Times New Roman" w:cs="Times New Roman"/>
          <w:sz w:val="24"/>
          <w:szCs w:val="24"/>
        </w:rPr>
        <w:t>4</w:t>
      </w:r>
      <w:r w:rsidRPr="00B71BF7">
        <w:rPr>
          <w:rFonts w:ascii="Times New Roman" w:hAnsi="Times New Roman" w:cs="Times New Roman"/>
          <w:sz w:val="24"/>
          <w:szCs w:val="24"/>
        </w:rPr>
        <w:tab/>
      </w:r>
      <w:r w:rsidR="00517C06">
        <w:rPr>
          <w:rFonts w:ascii="Times New Roman" w:hAnsi="Times New Roman" w:cs="Times New Roman"/>
          <w:sz w:val="24"/>
          <w:szCs w:val="24"/>
        </w:rPr>
        <w:tab/>
      </w:r>
      <w:hyperlink r:id="rId8" w:history="1">
        <w:r w:rsidR="00517C06" w:rsidRPr="0065098A">
          <w:rPr>
            <w:rStyle w:val="Hyperlink"/>
            <w:rFonts w:ascii="Times New Roman" w:hAnsi="Times New Roman" w:cs="Times New Roman"/>
            <w:sz w:val="24"/>
            <w:szCs w:val="24"/>
          </w:rPr>
          <w:t>Associate.ApplegarthJ@courts.qld.gov.au</w:t>
        </w:r>
      </w:hyperlink>
    </w:p>
    <w:p w14:paraId="6430F820" w14:textId="4EC21F99" w:rsidR="001248D7" w:rsidRPr="00B71BF7" w:rsidRDefault="001248D7" w:rsidP="00D946A0">
      <w:pPr>
        <w:pStyle w:val="ListParagraph"/>
        <w:spacing w:line="360" w:lineRule="auto"/>
        <w:jc w:val="both"/>
        <w:rPr>
          <w:rFonts w:ascii="Times New Roman" w:hAnsi="Times New Roman" w:cs="Times New Roman"/>
          <w:sz w:val="24"/>
          <w:szCs w:val="24"/>
        </w:rPr>
      </w:pPr>
      <w:r w:rsidRPr="00B71BF7">
        <w:rPr>
          <w:rFonts w:ascii="Times New Roman" w:hAnsi="Times New Roman" w:cs="Times New Roman"/>
          <w:sz w:val="24"/>
          <w:szCs w:val="24"/>
        </w:rPr>
        <w:t>Brown J</w:t>
      </w:r>
      <w:r w:rsidR="000E2FA7">
        <w:rPr>
          <w:rFonts w:ascii="Times New Roman" w:hAnsi="Times New Roman" w:cs="Times New Roman"/>
          <w:sz w:val="24"/>
          <w:szCs w:val="24"/>
        </w:rPr>
        <w:t>.</w:t>
      </w:r>
      <w:r w:rsidRPr="00B71BF7">
        <w:rPr>
          <w:rFonts w:ascii="Times New Roman" w:hAnsi="Times New Roman" w:cs="Times New Roman"/>
          <w:sz w:val="24"/>
          <w:szCs w:val="24"/>
        </w:rPr>
        <w:t xml:space="preserve"> </w:t>
      </w:r>
      <w:r w:rsidR="000E2FA7">
        <w:rPr>
          <w:rFonts w:ascii="Times New Roman" w:hAnsi="Times New Roman" w:cs="Times New Roman"/>
          <w:sz w:val="24"/>
          <w:szCs w:val="24"/>
        </w:rPr>
        <w:tab/>
        <w:t>07 3738 7666</w:t>
      </w:r>
      <w:r w:rsidR="000E2FA7">
        <w:rPr>
          <w:rFonts w:ascii="Times New Roman" w:hAnsi="Times New Roman" w:cs="Times New Roman"/>
          <w:sz w:val="24"/>
          <w:szCs w:val="24"/>
        </w:rPr>
        <w:tab/>
      </w:r>
      <w:r w:rsidR="00517C06">
        <w:rPr>
          <w:rFonts w:ascii="Times New Roman" w:hAnsi="Times New Roman" w:cs="Times New Roman"/>
          <w:sz w:val="24"/>
          <w:szCs w:val="24"/>
        </w:rPr>
        <w:tab/>
      </w:r>
      <w:hyperlink r:id="rId9" w:history="1">
        <w:r w:rsidR="00517C06" w:rsidRPr="0065098A">
          <w:rPr>
            <w:rStyle w:val="Hyperlink"/>
            <w:rFonts w:ascii="Times New Roman" w:hAnsi="Times New Roman" w:cs="Times New Roman"/>
            <w:sz w:val="24"/>
            <w:szCs w:val="24"/>
          </w:rPr>
          <w:t>Associate.BrownJ@courts.qld.gov.au</w:t>
        </w:r>
      </w:hyperlink>
      <w:r w:rsidR="000E2FA7">
        <w:rPr>
          <w:rFonts w:ascii="Times New Roman" w:hAnsi="Times New Roman" w:cs="Times New Roman"/>
          <w:sz w:val="24"/>
          <w:szCs w:val="24"/>
        </w:rPr>
        <w:tab/>
      </w:r>
    </w:p>
    <w:p w14:paraId="6BB80B8F" w14:textId="142E6785" w:rsidR="001248D7" w:rsidRPr="00B71BF7" w:rsidRDefault="001248D7" w:rsidP="00D946A0">
      <w:pPr>
        <w:pStyle w:val="ListParagraph"/>
        <w:spacing w:line="360" w:lineRule="auto"/>
        <w:jc w:val="both"/>
        <w:rPr>
          <w:rFonts w:ascii="Times New Roman" w:hAnsi="Times New Roman" w:cs="Times New Roman"/>
          <w:sz w:val="24"/>
          <w:szCs w:val="24"/>
        </w:rPr>
      </w:pPr>
      <w:r w:rsidRPr="00B71BF7">
        <w:rPr>
          <w:rFonts w:ascii="Times New Roman" w:hAnsi="Times New Roman" w:cs="Times New Roman"/>
          <w:sz w:val="24"/>
          <w:szCs w:val="24"/>
        </w:rPr>
        <w:t>Bradley J</w:t>
      </w:r>
      <w:r w:rsidR="000E2FA7">
        <w:rPr>
          <w:rFonts w:ascii="Times New Roman" w:hAnsi="Times New Roman" w:cs="Times New Roman"/>
          <w:sz w:val="24"/>
          <w:szCs w:val="24"/>
        </w:rPr>
        <w:t>.</w:t>
      </w:r>
      <w:r w:rsidRPr="00B71BF7">
        <w:rPr>
          <w:rFonts w:ascii="Times New Roman" w:hAnsi="Times New Roman" w:cs="Times New Roman"/>
          <w:sz w:val="24"/>
          <w:szCs w:val="24"/>
        </w:rPr>
        <w:t xml:space="preserve"> </w:t>
      </w:r>
      <w:r w:rsidR="00164EF5" w:rsidRPr="00B71BF7">
        <w:rPr>
          <w:rFonts w:ascii="Times New Roman" w:hAnsi="Times New Roman" w:cs="Times New Roman"/>
          <w:sz w:val="24"/>
          <w:szCs w:val="24"/>
        </w:rPr>
        <w:tab/>
      </w:r>
      <w:r w:rsidR="000E2FA7">
        <w:rPr>
          <w:rFonts w:ascii="Times New Roman" w:hAnsi="Times New Roman" w:cs="Times New Roman"/>
          <w:sz w:val="24"/>
          <w:szCs w:val="24"/>
        </w:rPr>
        <w:t>07 3738 7645</w:t>
      </w:r>
      <w:r w:rsidR="000E2FA7">
        <w:rPr>
          <w:rFonts w:ascii="Times New Roman" w:hAnsi="Times New Roman" w:cs="Times New Roman"/>
          <w:sz w:val="24"/>
          <w:szCs w:val="24"/>
        </w:rPr>
        <w:tab/>
      </w:r>
      <w:r w:rsidR="00517C06">
        <w:rPr>
          <w:rFonts w:ascii="Times New Roman" w:hAnsi="Times New Roman" w:cs="Times New Roman"/>
          <w:sz w:val="24"/>
          <w:szCs w:val="24"/>
        </w:rPr>
        <w:tab/>
      </w:r>
      <w:hyperlink r:id="rId10" w:history="1">
        <w:r w:rsidR="00517C06" w:rsidRPr="0065098A">
          <w:rPr>
            <w:rStyle w:val="Hyperlink"/>
            <w:rFonts w:ascii="Times New Roman" w:hAnsi="Times New Roman" w:cs="Times New Roman"/>
            <w:sz w:val="24"/>
            <w:szCs w:val="24"/>
          </w:rPr>
          <w:t>Associate.BradleyJ@courts.qld.gov.au</w:t>
        </w:r>
      </w:hyperlink>
    </w:p>
    <w:p w14:paraId="3A65F00D" w14:textId="25E9295D" w:rsidR="001248D7" w:rsidRPr="00B71BF7" w:rsidRDefault="001248D7" w:rsidP="00D946A0">
      <w:pPr>
        <w:pStyle w:val="ListParagraph"/>
        <w:spacing w:line="360" w:lineRule="auto"/>
        <w:jc w:val="both"/>
        <w:rPr>
          <w:rFonts w:ascii="Times New Roman" w:hAnsi="Times New Roman" w:cs="Times New Roman"/>
          <w:sz w:val="24"/>
          <w:szCs w:val="24"/>
        </w:rPr>
      </w:pPr>
      <w:r w:rsidRPr="00B71BF7">
        <w:rPr>
          <w:rFonts w:ascii="Times New Roman" w:hAnsi="Times New Roman" w:cs="Times New Roman"/>
          <w:sz w:val="24"/>
          <w:szCs w:val="24"/>
        </w:rPr>
        <w:t>Freeburn J</w:t>
      </w:r>
      <w:r w:rsidR="000E2FA7">
        <w:rPr>
          <w:rFonts w:ascii="Times New Roman" w:hAnsi="Times New Roman" w:cs="Times New Roman"/>
          <w:sz w:val="24"/>
          <w:szCs w:val="24"/>
        </w:rPr>
        <w:t>.</w:t>
      </w:r>
      <w:r w:rsidRPr="00B71BF7">
        <w:rPr>
          <w:rFonts w:ascii="Times New Roman" w:hAnsi="Times New Roman" w:cs="Times New Roman"/>
          <w:sz w:val="24"/>
          <w:szCs w:val="24"/>
        </w:rPr>
        <w:t xml:space="preserve"> </w:t>
      </w:r>
      <w:r w:rsidR="000E2FA7">
        <w:rPr>
          <w:rFonts w:ascii="Times New Roman" w:hAnsi="Times New Roman" w:cs="Times New Roman"/>
          <w:sz w:val="24"/>
          <w:szCs w:val="24"/>
        </w:rPr>
        <w:tab/>
        <w:t>07 3738 7619</w:t>
      </w:r>
      <w:r w:rsidR="000E2FA7">
        <w:rPr>
          <w:rFonts w:ascii="Times New Roman" w:hAnsi="Times New Roman" w:cs="Times New Roman"/>
          <w:sz w:val="24"/>
          <w:szCs w:val="24"/>
        </w:rPr>
        <w:tab/>
      </w:r>
      <w:r w:rsidR="00517C06">
        <w:rPr>
          <w:rFonts w:ascii="Times New Roman" w:hAnsi="Times New Roman" w:cs="Times New Roman"/>
          <w:sz w:val="24"/>
          <w:szCs w:val="24"/>
        </w:rPr>
        <w:tab/>
      </w:r>
      <w:hyperlink r:id="rId11" w:history="1">
        <w:r w:rsidR="00517C06" w:rsidRPr="0065098A">
          <w:rPr>
            <w:rStyle w:val="Hyperlink"/>
            <w:rFonts w:ascii="Times New Roman" w:hAnsi="Times New Roman" w:cs="Times New Roman"/>
            <w:sz w:val="24"/>
            <w:szCs w:val="24"/>
          </w:rPr>
          <w:t>Associate.FreeburnJ@courts.qld.gov.au</w:t>
        </w:r>
      </w:hyperlink>
      <w:r w:rsidR="000E2FA7">
        <w:rPr>
          <w:rFonts w:ascii="Times New Roman" w:hAnsi="Times New Roman" w:cs="Times New Roman"/>
          <w:sz w:val="24"/>
          <w:szCs w:val="24"/>
        </w:rPr>
        <w:t xml:space="preserve"> </w:t>
      </w:r>
    </w:p>
    <w:p w14:paraId="4F2C04AA" w14:textId="30E36B48" w:rsidR="001248D7" w:rsidRPr="00B71BF7" w:rsidRDefault="001248D7" w:rsidP="00D946A0">
      <w:pPr>
        <w:pStyle w:val="ListParagraph"/>
        <w:spacing w:line="360" w:lineRule="auto"/>
        <w:jc w:val="both"/>
        <w:rPr>
          <w:rFonts w:ascii="Times New Roman" w:hAnsi="Times New Roman" w:cs="Times New Roman"/>
          <w:sz w:val="24"/>
          <w:szCs w:val="24"/>
        </w:rPr>
      </w:pPr>
      <w:r w:rsidRPr="00B71BF7">
        <w:rPr>
          <w:rFonts w:ascii="Times New Roman" w:hAnsi="Times New Roman" w:cs="Times New Roman"/>
          <w:sz w:val="24"/>
          <w:szCs w:val="24"/>
        </w:rPr>
        <w:t>Kelly</w:t>
      </w:r>
      <w:r w:rsidR="000E2FA7">
        <w:rPr>
          <w:rFonts w:ascii="Times New Roman" w:hAnsi="Times New Roman" w:cs="Times New Roman"/>
          <w:sz w:val="24"/>
          <w:szCs w:val="24"/>
        </w:rPr>
        <w:t xml:space="preserve"> </w:t>
      </w:r>
      <w:r w:rsidRPr="00B71BF7">
        <w:rPr>
          <w:rFonts w:ascii="Times New Roman" w:hAnsi="Times New Roman" w:cs="Times New Roman"/>
          <w:sz w:val="24"/>
          <w:szCs w:val="24"/>
        </w:rPr>
        <w:t>J</w:t>
      </w:r>
      <w:r w:rsidR="000E2FA7">
        <w:rPr>
          <w:rFonts w:ascii="Times New Roman" w:hAnsi="Times New Roman" w:cs="Times New Roman"/>
          <w:sz w:val="24"/>
          <w:szCs w:val="24"/>
        </w:rPr>
        <w:t>.</w:t>
      </w:r>
      <w:r w:rsidRPr="00B71BF7">
        <w:rPr>
          <w:rFonts w:ascii="Times New Roman" w:hAnsi="Times New Roman" w:cs="Times New Roman"/>
          <w:sz w:val="24"/>
          <w:szCs w:val="24"/>
        </w:rPr>
        <w:t xml:space="preserve"> </w:t>
      </w:r>
      <w:r w:rsidR="000E2FA7">
        <w:rPr>
          <w:rFonts w:ascii="Times New Roman" w:hAnsi="Times New Roman" w:cs="Times New Roman"/>
          <w:sz w:val="24"/>
          <w:szCs w:val="24"/>
        </w:rPr>
        <w:tab/>
        <w:t>07 3738 7603</w:t>
      </w:r>
      <w:r w:rsidR="000E2FA7">
        <w:rPr>
          <w:rFonts w:ascii="Times New Roman" w:hAnsi="Times New Roman" w:cs="Times New Roman"/>
          <w:sz w:val="24"/>
          <w:szCs w:val="24"/>
        </w:rPr>
        <w:tab/>
      </w:r>
      <w:r w:rsidR="00517C06">
        <w:rPr>
          <w:rFonts w:ascii="Times New Roman" w:hAnsi="Times New Roman" w:cs="Times New Roman"/>
          <w:sz w:val="24"/>
          <w:szCs w:val="24"/>
        </w:rPr>
        <w:tab/>
      </w:r>
      <w:hyperlink r:id="rId12" w:history="1">
        <w:r w:rsidR="00517C06" w:rsidRPr="0065098A">
          <w:rPr>
            <w:rStyle w:val="Hyperlink"/>
            <w:rFonts w:ascii="Times New Roman" w:hAnsi="Times New Roman" w:cs="Times New Roman"/>
            <w:sz w:val="24"/>
            <w:szCs w:val="24"/>
          </w:rPr>
          <w:t>Associate.KellyJ@courts.qld.gov.au</w:t>
        </w:r>
      </w:hyperlink>
      <w:r w:rsidR="000E2FA7">
        <w:rPr>
          <w:rFonts w:ascii="Times New Roman" w:hAnsi="Times New Roman" w:cs="Times New Roman"/>
          <w:sz w:val="24"/>
          <w:szCs w:val="24"/>
        </w:rPr>
        <w:t xml:space="preserve"> </w:t>
      </w:r>
    </w:p>
    <w:p w14:paraId="2B538129" w14:textId="131383E4" w:rsidR="001248D7" w:rsidRPr="00B71BF7" w:rsidRDefault="001248D7" w:rsidP="00D946A0">
      <w:pPr>
        <w:pStyle w:val="ListParagraph"/>
        <w:spacing w:line="360" w:lineRule="auto"/>
        <w:jc w:val="both"/>
        <w:rPr>
          <w:rFonts w:ascii="Times New Roman" w:hAnsi="Times New Roman" w:cs="Times New Roman"/>
          <w:sz w:val="24"/>
          <w:szCs w:val="24"/>
        </w:rPr>
      </w:pPr>
      <w:r w:rsidRPr="00B71BF7">
        <w:rPr>
          <w:rFonts w:ascii="Times New Roman" w:hAnsi="Times New Roman" w:cs="Times New Roman"/>
          <w:sz w:val="24"/>
          <w:szCs w:val="24"/>
        </w:rPr>
        <w:t>Cooper J</w:t>
      </w:r>
      <w:r w:rsidR="000E2FA7">
        <w:rPr>
          <w:rFonts w:ascii="Times New Roman" w:hAnsi="Times New Roman" w:cs="Times New Roman"/>
          <w:sz w:val="24"/>
          <w:szCs w:val="24"/>
        </w:rPr>
        <w:t>.</w:t>
      </w:r>
      <w:r w:rsidRPr="00B71BF7">
        <w:rPr>
          <w:rFonts w:ascii="Times New Roman" w:hAnsi="Times New Roman" w:cs="Times New Roman"/>
          <w:sz w:val="24"/>
          <w:szCs w:val="24"/>
        </w:rPr>
        <w:t xml:space="preserve"> </w:t>
      </w:r>
      <w:r w:rsidR="000E2FA7">
        <w:rPr>
          <w:rFonts w:ascii="Times New Roman" w:hAnsi="Times New Roman" w:cs="Times New Roman"/>
          <w:sz w:val="24"/>
          <w:szCs w:val="24"/>
        </w:rPr>
        <w:tab/>
        <w:t>07 3738 7655</w:t>
      </w:r>
      <w:r w:rsidR="000E2FA7">
        <w:rPr>
          <w:rFonts w:ascii="Times New Roman" w:hAnsi="Times New Roman" w:cs="Times New Roman"/>
          <w:sz w:val="24"/>
          <w:szCs w:val="24"/>
        </w:rPr>
        <w:tab/>
      </w:r>
      <w:r w:rsidR="00517C06">
        <w:rPr>
          <w:rFonts w:ascii="Times New Roman" w:hAnsi="Times New Roman" w:cs="Times New Roman"/>
          <w:sz w:val="24"/>
          <w:szCs w:val="24"/>
        </w:rPr>
        <w:tab/>
      </w:r>
      <w:hyperlink r:id="rId13" w:history="1">
        <w:r w:rsidR="00517C06" w:rsidRPr="0065098A">
          <w:rPr>
            <w:rStyle w:val="Hyperlink"/>
            <w:rFonts w:ascii="Times New Roman" w:hAnsi="Times New Roman" w:cs="Times New Roman"/>
            <w:sz w:val="24"/>
            <w:szCs w:val="24"/>
          </w:rPr>
          <w:t>Associate.CooperJ@courts.qld.gov.au</w:t>
        </w:r>
      </w:hyperlink>
      <w:r w:rsidR="000E2FA7">
        <w:rPr>
          <w:rFonts w:ascii="Times New Roman" w:hAnsi="Times New Roman" w:cs="Times New Roman"/>
          <w:sz w:val="24"/>
          <w:szCs w:val="24"/>
        </w:rPr>
        <w:t xml:space="preserve"> </w:t>
      </w:r>
    </w:p>
    <w:p w14:paraId="55B7CE3B" w14:textId="7EE30EA2" w:rsidR="00735453" w:rsidRDefault="001248D7" w:rsidP="00735453">
      <w:pPr>
        <w:pStyle w:val="ListParagraph"/>
        <w:spacing w:line="360" w:lineRule="auto"/>
        <w:jc w:val="both"/>
        <w:rPr>
          <w:rFonts w:ascii="Times New Roman" w:hAnsi="Times New Roman" w:cs="Times New Roman"/>
          <w:sz w:val="24"/>
          <w:szCs w:val="24"/>
        </w:rPr>
      </w:pPr>
      <w:r w:rsidRPr="00B71BF7">
        <w:rPr>
          <w:rFonts w:ascii="Times New Roman" w:hAnsi="Times New Roman" w:cs="Times New Roman"/>
          <w:sz w:val="24"/>
          <w:szCs w:val="24"/>
        </w:rPr>
        <w:t>Hindman J.</w:t>
      </w:r>
      <w:r w:rsidR="000E2FA7">
        <w:rPr>
          <w:rFonts w:ascii="Times New Roman" w:hAnsi="Times New Roman" w:cs="Times New Roman"/>
          <w:sz w:val="24"/>
          <w:szCs w:val="24"/>
        </w:rPr>
        <w:tab/>
        <w:t>07 3738 7599</w:t>
      </w:r>
      <w:r w:rsidR="000E2FA7">
        <w:rPr>
          <w:rFonts w:ascii="Times New Roman" w:hAnsi="Times New Roman" w:cs="Times New Roman"/>
          <w:sz w:val="24"/>
          <w:szCs w:val="24"/>
        </w:rPr>
        <w:tab/>
      </w:r>
      <w:r w:rsidR="00517C06">
        <w:rPr>
          <w:rFonts w:ascii="Times New Roman" w:hAnsi="Times New Roman" w:cs="Times New Roman"/>
          <w:sz w:val="24"/>
          <w:szCs w:val="24"/>
        </w:rPr>
        <w:tab/>
      </w:r>
      <w:hyperlink r:id="rId14" w:history="1">
        <w:r w:rsidR="00517C06" w:rsidRPr="0065098A">
          <w:rPr>
            <w:rStyle w:val="Hyperlink"/>
            <w:rFonts w:ascii="Times New Roman" w:hAnsi="Times New Roman" w:cs="Times New Roman"/>
            <w:sz w:val="24"/>
            <w:szCs w:val="24"/>
          </w:rPr>
          <w:t>Associate.HindmanJ@courts.qld.gov.au</w:t>
        </w:r>
      </w:hyperlink>
      <w:r w:rsidR="000E2FA7">
        <w:rPr>
          <w:rFonts w:ascii="Times New Roman" w:hAnsi="Times New Roman" w:cs="Times New Roman"/>
          <w:sz w:val="24"/>
          <w:szCs w:val="24"/>
        </w:rPr>
        <w:t xml:space="preserve"> </w:t>
      </w:r>
    </w:p>
    <w:p w14:paraId="67B553D6" w14:textId="77777777" w:rsidR="00735453" w:rsidRPr="00735453" w:rsidRDefault="00735453" w:rsidP="00735453">
      <w:pPr>
        <w:pStyle w:val="ListParagraph"/>
        <w:spacing w:line="360" w:lineRule="auto"/>
        <w:jc w:val="both"/>
        <w:rPr>
          <w:rFonts w:ascii="Times New Roman" w:hAnsi="Times New Roman" w:cs="Times New Roman"/>
          <w:sz w:val="24"/>
          <w:szCs w:val="24"/>
        </w:rPr>
      </w:pPr>
    </w:p>
    <w:p w14:paraId="4997DDE9" w14:textId="325E23AB" w:rsidR="00164EF5" w:rsidRDefault="00164EF5" w:rsidP="00D946A0">
      <w:pPr>
        <w:pStyle w:val="ListParagraph"/>
        <w:numPr>
          <w:ilvl w:val="0"/>
          <w:numId w:val="1"/>
        </w:numPr>
        <w:spacing w:line="360" w:lineRule="auto"/>
        <w:jc w:val="both"/>
        <w:rPr>
          <w:rFonts w:ascii="Times New Roman" w:hAnsi="Times New Roman" w:cs="Times New Roman"/>
          <w:sz w:val="24"/>
          <w:szCs w:val="24"/>
        </w:rPr>
      </w:pPr>
      <w:bookmarkStart w:id="6" w:name="_Hlk112684516"/>
      <w:r w:rsidRPr="00B71BF7">
        <w:rPr>
          <w:rFonts w:ascii="Times New Roman" w:hAnsi="Times New Roman" w:cs="Times New Roman"/>
          <w:sz w:val="24"/>
          <w:szCs w:val="24"/>
        </w:rPr>
        <w:t>Once a matter is placed on the Commercial List and allocated to a particular Judge, the parties’ principal point of contact for listing and other purposes is that Judge’s Associate.</w:t>
      </w:r>
      <w:bookmarkEnd w:id="6"/>
    </w:p>
    <w:p w14:paraId="608B1250" w14:textId="77777777" w:rsidR="00735453" w:rsidRPr="00D946A0" w:rsidRDefault="00735453" w:rsidP="00735453">
      <w:pPr>
        <w:pStyle w:val="ListParagraph"/>
        <w:spacing w:line="360" w:lineRule="auto"/>
        <w:jc w:val="both"/>
        <w:rPr>
          <w:rFonts w:ascii="Times New Roman" w:hAnsi="Times New Roman" w:cs="Times New Roman"/>
          <w:sz w:val="24"/>
          <w:szCs w:val="24"/>
        </w:rPr>
      </w:pPr>
    </w:p>
    <w:p w14:paraId="6C6D1F32" w14:textId="33332ACB" w:rsidR="00517C06" w:rsidRPr="00D946A0" w:rsidRDefault="00164EF5" w:rsidP="00D946A0">
      <w:pPr>
        <w:pStyle w:val="ListParagraph"/>
        <w:numPr>
          <w:ilvl w:val="0"/>
          <w:numId w:val="1"/>
        </w:numPr>
        <w:spacing w:line="360" w:lineRule="auto"/>
        <w:jc w:val="both"/>
        <w:rPr>
          <w:rFonts w:ascii="Times New Roman" w:hAnsi="Times New Roman" w:cs="Times New Roman"/>
          <w:sz w:val="24"/>
          <w:szCs w:val="24"/>
        </w:rPr>
      </w:pPr>
      <w:r w:rsidRPr="00B71BF7">
        <w:rPr>
          <w:rFonts w:ascii="Times New Roman" w:hAnsi="Times New Roman" w:cs="Times New Roman"/>
          <w:sz w:val="24"/>
          <w:szCs w:val="24"/>
        </w:rPr>
        <w:t xml:space="preserve">The Commercial List Manager who assists the Commercial List </w:t>
      </w:r>
      <w:r w:rsidR="0059375C">
        <w:rPr>
          <w:rFonts w:ascii="Times New Roman" w:hAnsi="Times New Roman" w:cs="Times New Roman"/>
          <w:sz w:val="24"/>
          <w:szCs w:val="24"/>
        </w:rPr>
        <w:t>Principal</w:t>
      </w:r>
      <w:r w:rsidRPr="00B71BF7">
        <w:rPr>
          <w:rFonts w:ascii="Times New Roman" w:hAnsi="Times New Roman" w:cs="Times New Roman"/>
          <w:sz w:val="24"/>
          <w:szCs w:val="24"/>
        </w:rPr>
        <w:t xml:space="preserve"> Judge and the Commercial List Judges with administration and management of the Commercial List may be contacted on</w:t>
      </w:r>
      <w:r w:rsidR="00517C06">
        <w:rPr>
          <w:rFonts w:ascii="Times New Roman" w:hAnsi="Times New Roman" w:cs="Times New Roman"/>
          <w:sz w:val="24"/>
          <w:szCs w:val="24"/>
        </w:rPr>
        <w:t xml:space="preserve">: </w:t>
      </w:r>
    </w:p>
    <w:p w14:paraId="46A80274" w14:textId="4C9BD77B" w:rsidR="00D946A0" w:rsidRDefault="00517C06" w:rsidP="00DD01F7">
      <w:pPr>
        <w:pStyle w:val="ListParagraph"/>
        <w:spacing w:line="360" w:lineRule="auto"/>
        <w:ind w:left="1440" w:firstLine="720"/>
        <w:jc w:val="both"/>
        <w:rPr>
          <w:rStyle w:val="Hyperlink"/>
          <w:rFonts w:ascii="Times New Roman" w:hAnsi="Times New Roman" w:cs="Times New Roman"/>
          <w:sz w:val="24"/>
          <w:szCs w:val="24"/>
        </w:rPr>
      </w:pPr>
      <w:r>
        <w:rPr>
          <w:rFonts w:ascii="Times New Roman" w:hAnsi="Times New Roman" w:cs="Times New Roman"/>
          <w:sz w:val="24"/>
          <w:szCs w:val="24"/>
        </w:rPr>
        <w:t>07 3738 7973</w:t>
      </w:r>
      <w:r>
        <w:rPr>
          <w:rFonts w:ascii="Times New Roman" w:hAnsi="Times New Roman" w:cs="Times New Roman"/>
          <w:sz w:val="24"/>
          <w:szCs w:val="24"/>
        </w:rPr>
        <w:tab/>
      </w:r>
      <w:bookmarkStart w:id="7" w:name="_Hlk118292822"/>
      <w:r w:rsidR="00DD01F7">
        <w:rPr>
          <w:rFonts w:ascii="Times New Roman" w:hAnsi="Times New Roman" w:cs="Times New Roman"/>
          <w:sz w:val="24"/>
          <w:szCs w:val="24"/>
        </w:rPr>
        <w:tab/>
      </w:r>
      <w:hyperlink r:id="rId15" w:history="1">
        <w:r w:rsidR="00DD01F7" w:rsidRPr="006226DD">
          <w:rPr>
            <w:rStyle w:val="Hyperlink"/>
            <w:rFonts w:ascii="Times New Roman" w:hAnsi="Times New Roman" w:cs="Times New Roman"/>
            <w:sz w:val="24"/>
            <w:szCs w:val="24"/>
          </w:rPr>
          <w:t>comcausemanager@justice.qld.gov.au</w:t>
        </w:r>
      </w:hyperlink>
      <w:bookmarkEnd w:id="7"/>
    </w:p>
    <w:p w14:paraId="5A578544" w14:textId="77777777" w:rsidR="00D946A0" w:rsidRPr="00D946A0" w:rsidRDefault="00D946A0" w:rsidP="00D946A0">
      <w:pPr>
        <w:pStyle w:val="ListParagraph"/>
        <w:spacing w:line="360" w:lineRule="auto"/>
        <w:jc w:val="both"/>
        <w:rPr>
          <w:rFonts w:ascii="Times New Roman" w:hAnsi="Times New Roman" w:cs="Times New Roman"/>
          <w:color w:val="0563C1" w:themeColor="hyperlink"/>
          <w:sz w:val="24"/>
          <w:szCs w:val="24"/>
          <w:u w:val="single"/>
        </w:rPr>
      </w:pPr>
    </w:p>
    <w:p w14:paraId="05722B9E" w14:textId="24C2B093" w:rsidR="00735453" w:rsidRDefault="008672CA" w:rsidP="0059375C">
      <w:pPr>
        <w:tabs>
          <w:tab w:val="left" w:pos="284"/>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Request to place matter on Commercial List</w:t>
      </w:r>
    </w:p>
    <w:p w14:paraId="15CC9D37" w14:textId="08621DD6" w:rsidR="00D946A0" w:rsidRDefault="008672CA" w:rsidP="00D946A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r</w:t>
      </w:r>
      <w:r w:rsidRPr="008672CA">
        <w:rPr>
          <w:rFonts w:ascii="Times New Roman" w:hAnsi="Times New Roman" w:cs="Times New Roman"/>
          <w:sz w:val="24"/>
          <w:szCs w:val="24"/>
        </w:rPr>
        <w:t>equest to place a matter on the Commercial List is to be made by email to the Associate to the Commercial List Principal Judge</w:t>
      </w:r>
      <w:r w:rsidR="0059375C">
        <w:rPr>
          <w:rFonts w:ascii="Times New Roman" w:hAnsi="Times New Roman" w:cs="Times New Roman"/>
          <w:sz w:val="24"/>
          <w:szCs w:val="24"/>
        </w:rPr>
        <w:t>,</w:t>
      </w:r>
      <w:r w:rsidRPr="008672CA">
        <w:rPr>
          <w:rFonts w:ascii="Times New Roman" w:hAnsi="Times New Roman" w:cs="Times New Roman"/>
          <w:sz w:val="24"/>
          <w:szCs w:val="24"/>
        </w:rPr>
        <w:t xml:space="preserve"> and copied to the other parties and to the Commercial List Manager.</w:t>
      </w:r>
    </w:p>
    <w:p w14:paraId="04D9B11A" w14:textId="77777777" w:rsidR="00735453" w:rsidRPr="00D946A0" w:rsidRDefault="00735453" w:rsidP="00735453">
      <w:pPr>
        <w:pStyle w:val="ListParagraph"/>
        <w:spacing w:line="360" w:lineRule="auto"/>
        <w:jc w:val="both"/>
        <w:rPr>
          <w:rFonts w:ascii="Times New Roman" w:hAnsi="Times New Roman" w:cs="Times New Roman"/>
          <w:sz w:val="24"/>
          <w:szCs w:val="24"/>
        </w:rPr>
      </w:pPr>
    </w:p>
    <w:p w14:paraId="79FEFBD2" w14:textId="72B0BCB0" w:rsidR="00735453" w:rsidRPr="00735453" w:rsidRDefault="008672CA" w:rsidP="00735453">
      <w:pPr>
        <w:pStyle w:val="ListParagraph"/>
        <w:numPr>
          <w:ilvl w:val="0"/>
          <w:numId w:val="1"/>
        </w:numPr>
        <w:spacing w:line="360" w:lineRule="auto"/>
        <w:jc w:val="both"/>
        <w:rPr>
          <w:rFonts w:ascii="Times New Roman" w:hAnsi="Times New Roman" w:cs="Times New Roman"/>
          <w:sz w:val="24"/>
          <w:szCs w:val="24"/>
        </w:rPr>
      </w:pPr>
      <w:r w:rsidRPr="008672CA">
        <w:rPr>
          <w:rFonts w:ascii="Times New Roman" w:hAnsi="Times New Roman" w:cs="Times New Roman"/>
          <w:sz w:val="24"/>
          <w:szCs w:val="24"/>
        </w:rPr>
        <w:t xml:space="preserve">It should include a completed </w:t>
      </w:r>
      <w:r>
        <w:rPr>
          <w:rFonts w:ascii="Times New Roman" w:hAnsi="Times New Roman" w:cs="Times New Roman"/>
          <w:sz w:val="24"/>
          <w:szCs w:val="24"/>
        </w:rPr>
        <w:t>version of the Request Form</w:t>
      </w:r>
      <w:r w:rsidR="00972FAC">
        <w:rPr>
          <w:rFonts w:ascii="Times New Roman" w:hAnsi="Times New Roman" w:cs="Times New Roman"/>
          <w:sz w:val="24"/>
          <w:szCs w:val="24"/>
        </w:rPr>
        <w:t>.</w:t>
      </w:r>
      <w:r>
        <w:rPr>
          <w:rFonts w:ascii="Times New Roman" w:hAnsi="Times New Roman" w:cs="Times New Roman"/>
          <w:sz w:val="24"/>
          <w:szCs w:val="24"/>
        </w:rPr>
        <w:t xml:space="preserve"> [</w:t>
      </w:r>
      <w:r w:rsidRPr="008672CA">
        <w:rPr>
          <w:rFonts w:ascii="Times New Roman" w:hAnsi="Times New Roman" w:cs="Times New Roman"/>
          <w:color w:val="2F5496" w:themeColor="accent1" w:themeShade="BF"/>
          <w:sz w:val="24"/>
          <w:szCs w:val="24"/>
        </w:rPr>
        <w:t>insert link to electronic form</w:t>
      </w:r>
      <w:r>
        <w:rPr>
          <w:rFonts w:ascii="Times New Roman" w:hAnsi="Times New Roman" w:cs="Times New Roman"/>
          <w:sz w:val="24"/>
          <w:szCs w:val="24"/>
        </w:rPr>
        <w:t xml:space="preserve">]  </w:t>
      </w:r>
    </w:p>
    <w:p w14:paraId="0BC46718" w14:textId="28C95744" w:rsidR="00DE501E" w:rsidRDefault="008672CA" w:rsidP="0029639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it will assist the Court with case-management, a party requesting that a matter be placed on the Commercial List may supplement the </w:t>
      </w:r>
      <w:r w:rsidR="00DE501E">
        <w:rPr>
          <w:rFonts w:ascii="Times New Roman" w:hAnsi="Times New Roman" w:cs="Times New Roman"/>
          <w:sz w:val="24"/>
          <w:szCs w:val="24"/>
        </w:rPr>
        <w:t xml:space="preserve">Request </w:t>
      </w:r>
      <w:r>
        <w:rPr>
          <w:rFonts w:ascii="Times New Roman" w:hAnsi="Times New Roman" w:cs="Times New Roman"/>
          <w:sz w:val="24"/>
          <w:szCs w:val="24"/>
        </w:rPr>
        <w:t>Form with</w:t>
      </w:r>
      <w:r w:rsidR="00DE501E" w:rsidRPr="00D72907">
        <w:rPr>
          <w:rFonts w:ascii="Times New Roman" w:hAnsi="Times New Roman" w:cs="Times New Roman"/>
          <w:sz w:val="24"/>
          <w:szCs w:val="24"/>
        </w:rPr>
        <w:t xml:space="preserve"> a</w:t>
      </w:r>
      <w:r w:rsidR="00DE501E">
        <w:rPr>
          <w:rFonts w:ascii="Times New Roman" w:hAnsi="Times New Roman" w:cs="Times New Roman"/>
          <w:sz w:val="24"/>
          <w:szCs w:val="24"/>
        </w:rPr>
        <w:t>dditional information</w:t>
      </w:r>
      <w:r w:rsidR="00DE501E" w:rsidRPr="00D72907">
        <w:rPr>
          <w:rFonts w:ascii="Times New Roman" w:hAnsi="Times New Roman" w:cs="Times New Roman"/>
          <w:sz w:val="24"/>
          <w:szCs w:val="24"/>
        </w:rPr>
        <w:t xml:space="preserve"> </w:t>
      </w:r>
      <w:r w:rsidR="00DE501E">
        <w:rPr>
          <w:rFonts w:ascii="Times New Roman" w:hAnsi="Times New Roman" w:cs="Times New Roman"/>
          <w:sz w:val="24"/>
          <w:szCs w:val="24"/>
        </w:rPr>
        <w:t>about</w:t>
      </w:r>
      <w:r w:rsidR="00DE501E" w:rsidRPr="00D72907">
        <w:rPr>
          <w:rFonts w:ascii="Times New Roman" w:hAnsi="Times New Roman" w:cs="Times New Roman"/>
          <w:sz w:val="24"/>
          <w:szCs w:val="24"/>
        </w:rPr>
        <w:t xml:space="preserve"> the nature of the dispute and the main issues that are expected to arise (not exceeding one page)</w:t>
      </w:r>
      <w:r w:rsidR="00DE501E">
        <w:rPr>
          <w:rFonts w:ascii="Times New Roman" w:hAnsi="Times New Roman" w:cs="Times New Roman"/>
          <w:sz w:val="24"/>
          <w:szCs w:val="24"/>
        </w:rPr>
        <w:t xml:space="preserve">, and information that will assist the </w:t>
      </w:r>
      <w:r w:rsidR="00DA6D0C">
        <w:rPr>
          <w:rFonts w:ascii="Times New Roman" w:hAnsi="Times New Roman" w:cs="Times New Roman"/>
          <w:sz w:val="24"/>
          <w:szCs w:val="24"/>
        </w:rPr>
        <w:t>C</w:t>
      </w:r>
      <w:r w:rsidR="00DE501E">
        <w:rPr>
          <w:rFonts w:ascii="Times New Roman" w:hAnsi="Times New Roman" w:cs="Times New Roman"/>
          <w:sz w:val="24"/>
          <w:szCs w:val="24"/>
        </w:rPr>
        <w:t>ourt to make initial directions and list the matter for an early review.</w:t>
      </w:r>
    </w:p>
    <w:p w14:paraId="5BD83EB6" w14:textId="554C09DC" w:rsidR="0086600B" w:rsidRPr="00DD4471" w:rsidRDefault="0086600B" w:rsidP="00DD4471">
      <w:pPr>
        <w:spacing w:after="0" w:line="360" w:lineRule="auto"/>
        <w:jc w:val="both"/>
        <w:rPr>
          <w:rFonts w:ascii="Times New Roman" w:hAnsi="Times New Roman" w:cs="Times New Roman"/>
          <w:b/>
          <w:bCs/>
          <w:sz w:val="24"/>
          <w:szCs w:val="24"/>
        </w:rPr>
      </w:pPr>
    </w:p>
    <w:p w14:paraId="2275D064" w14:textId="3E876584" w:rsidR="00735453" w:rsidRPr="00DD4471" w:rsidRDefault="0086600B" w:rsidP="00DD4471">
      <w:pPr>
        <w:tabs>
          <w:tab w:val="left" w:pos="284"/>
        </w:tabs>
        <w:spacing w:line="360" w:lineRule="auto"/>
        <w:jc w:val="both"/>
        <w:rPr>
          <w:rFonts w:ascii="Times New Roman" w:hAnsi="Times New Roman" w:cs="Times New Roman"/>
          <w:b/>
          <w:bCs/>
          <w:sz w:val="24"/>
          <w:szCs w:val="24"/>
        </w:rPr>
      </w:pPr>
      <w:r w:rsidRPr="00DD4471">
        <w:rPr>
          <w:rFonts w:ascii="Times New Roman" w:hAnsi="Times New Roman" w:cs="Times New Roman"/>
          <w:b/>
          <w:bCs/>
          <w:sz w:val="24"/>
          <w:szCs w:val="24"/>
        </w:rPr>
        <w:t xml:space="preserve">Draft Directions </w:t>
      </w:r>
    </w:p>
    <w:p w14:paraId="7031F8ED" w14:textId="1CC85ADB" w:rsidR="0086600B" w:rsidRDefault="0086600B" w:rsidP="00D946A0">
      <w:pPr>
        <w:pStyle w:val="ListParagraph"/>
        <w:numPr>
          <w:ilvl w:val="0"/>
          <w:numId w:val="1"/>
        </w:numPr>
        <w:spacing w:after="0" w:line="360" w:lineRule="auto"/>
        <w:jc w:val="both"/>
        <w:rPr>
          <w:rFonts w:ascii="Times New Roman" w:hAnsi="Times New Roman" w:cs="Times New Roman"/>
          <w:sz w:val="24"/>
          <w:szCs w:val="24"/>
        </w:rPr>
      </w:pPr>
      <w:bookmarkStart w:id="8" w:name="_Hlk118365842"/>
      <w:r>
        <w:rPr>
          <w:rFonts w:ascii="Times New Roman" w:hAnsi="Times New Roman" w:cs="Times New Roman"/>
          <w:sz w:val="24"/>
          <w:szCs w:val="24"/>
        </w:rPr>
        <w:t>Parties on the Commercial List should propose directions that are suited to the circumstances of the case.</w:t>
      </w:r>
    </w:p>
    <w:bookmarkEnd w:id="8"/>
    <w:p w14:paraId="4D5244D2" w14:textId="77777777" w:rsidR="00735453" w:rsidRDefault="00735453" w:rsidP="00735453">
      <w:pPr>
        <w:pStyle w:val="ListParagraph"/>
        <w:spacing w:after="0" w:line="360" w:lineRule="auto"/>
        <w:jc w:val="both"/>
        <w:rPr>
          <w:rFonts w:ascii="Times New Roman" w:hAnsi="Times New Roman" w:cs="Times New Roman"/>
          <w:sz w:val="24"/>
          <w:szCs w:val="24"/>
        </w:rPr>
      </w:pPr>
    </w:p>
    <w:p w14:paraId="115326ED" w14:textId="68270E25" w:rsidR="0086600B" w:rsidRDefault="0086600B" w:rsidP="00D946A0">
      <w:pPr>
        <w:pStyle w:val="ListParagraph"/>
        <w:numPr>
          <w:ilvl w:val="0"/>
          <w:numId w:val="1"/>
        </w:numPr>
        <w:spacing w:after="0" w:line="360" w:lineRule="auto"/>
        <w:jc w:val="both"/>
        <w:rPr>
          <w:rFonts w:ascii="Times New Roman" w:hAnsi="Times New Roman" w:cs="Times New Roman"/>
          <w:sz w:val="24"/>
          <w:szCs w:val="24"/>
        </w:rPr>
      </w:pPr>
      <w:bookmarkStart w:id="9" w:name="_Hlk118365701"/>
      <w:r w:rsidRPr="00D72907">
        <w:rPr>
          <w:rFonts w:ascii="Times New Roman" w:hAnsi="Times New Roman" w:cs="Times New Roman"/>
          <w:sz w:val="24"/>
          <w:szCs w:val="24"/>
        </w:rPr>
        <w:t xml:space="preserve">The Court encourages parties to adapt common forms of </w:t>
      </w:r>
      <w:r>
        <w:rPr>
          <w:rFonts w:ascii="Times New Roman" w:hAnsi="Times New Roman" w:cs="Times New Roman"/>
          <w:sz w:val="24"/>
          <w:szCs w:val="24"/>
        </w:rPr>
        <w:t>draft directions</w:t>
      </w:r>
      <w:r w:rsidRPr="00D72907">
        <w:rPr>
          <w:rFonts w:ascii="Times New Roman" w:hAnsi="Times New Roman" w:cs="Times New Roman"/>
          <w:sz w:val="24"/>
          <w:szCs w:val="24"/>
        </w:rPr>
        <w:t xml:space="preserve"> to those circumstances.</w:t>
      </w:r>
    </w:p>
    <w:bookmarkEnd w:id="9"/>
    <w:p w14:paraId="3D5683D3" w14:textId="77777777" w:rsidR="00735453" w:rsidRPr="00735453" w:rsidRDefault="00735453" w:rsidP="00735453">
      <w:pPr>
        <w:spacing w:after="0" w:line="360" w:lineRule="auto"/>
        <w:jc w:val="both"/>
        <w:rPr>
          <w:rFonts w:ascii="Times New Roman" w:hAnsi="Times New Roman" w:cs="Times New Roman"/>
          <w:sz w:val="24"/>
          <w:szCs w:val="24"/>
        </w:rPr>
      </w:pPr>
    </w:p>
    <w:p w14:paraId="2B40B10A" w14:textId="4187936E" w:rsidR="0086600B" w:rsidRDefault="0086600B" w:rsidP="00D946A0">
      <w:pPr>
        <w:pStyle w:val="ListParagraph"/>
        <w:numPr>
          <w:ilvl w:val="0"/>
          <w:numId w:val="1"/>
        </w:numPr>
        <w:spacing w:after="0" w:line="360" w:lineRule="auto"/>
        <w:jc w:val="both"/>
        <w:rPr>
          <w:rFonts w:ascii="Times New Roman" w:hAnsi="Times New Roman" w:cs="Times New Roman"/>
          <w:sz w:val="24"/>
          <w:szCs w:val="24"/>
        </w:rPr>
      </w:pPr>
      <w:bookmarkStart w:id="10" w:name="_Hlk118366387"/>
      <w:bookmarkStart w:id="11" w:name="_Hlk118366462"/>
      <w:bookmarkStart w:id="12" w:name="_Hlk118366022"/>
      <w:bookmarkStart w:id="13" w:name="_Hlk118365502"/>
      <w:r>
        <w:rPr>
          <w:rFonts w:ascii="Times New Roman" w:hAnsi="Times New Roman" w:cs="Times New Roman"/>
          <w:sz w:val="24"/>
          <w:szCs w:val="24"/>
        </w:rPr>
        <w:t xml:space="preserve">Draft </w:t>
      </w:r>
      <w:r w:rsidR="00DD4471">
        <w:rPr>
          <w:rFonts w:ascii="Times New Roman" w:hAnsi="Times New Roman" w:cs="Times New Roman"/>
          <w:sz w:val="24"/>
          <w:szCs w:val="24"/>
        </w:rPr>
        <w:t>d</w:t>
      </w:r>
      <w:r>
        <w:rPr>
          <w:rFonts w:ascii="Times New Roman" w:hAnsi="Times New Roman" w:cs="Times New Roman"/>
          <w:sz w:val="24"/>
          <w:szCs w:val="24"/>
        </w:rPr>
        <w:t>irections can be accessed here in relation to:</w:t>
      </w:r>
    </w:p>
    <w:p w14:paraId="08E06E5F" w14:textId="6D6FB3B2" w:rsidR="00554973" w:rsidRPr="00554973" w:rsidRDefault="00554973" w:rsidP="00554973">
      <w:pPr>
        <w:pStyle w:val="ListParagraph"/>
        <w:numPr>
          <w:ilvl w:val="0"/>
          <w:numId w:val="9"/>
        </w:numPr>
        <w:spacing w:after="0" w:line="360" w:lineRule="auto"/>
        <w:ind w:left="1276" w:hanging="556"/>
        <w:jc w:val="both"/>
        <w:rPr>
          <w:rFonts w:ascii="Times New Roman" w:hAnsi="Times New Roman" w:cs="Times New Roman"/>
          <w:sz w:val="28"/>
          <w:szCs w:val="28"/>
        </w:rPr>
      </w:pPr>
      <w:bookmarkStart w:id="14" w:name="_Hlk112839234"/>
      <w:bookmarkStart w:id="15" w:name="_Hlk118362948"/>
      <w:bookmarkStart w:id="16" w:name="_Hlk118365481"/>
      <w:r>
        <w:rPr>
          <w:rFonts w:ascii="Times New Roman" w:hAnsi="Times New Roman" w:cs="Times New Roman"/>
          <w:sz w:val="24"/>
          <w:szCs w:val="24"/>
        </w:rPr>
        <w:t>the</w:t>
      </w:r>
      <w:r w:rsidRPr="00554973">
        <w:rPr>
          <w:rFonts w:ascii="Times New Roman" w:hAnsi="Times New Roman" w:cs="Times New Roman"/>
          <w:sz w:val="24"/>
          <w:szCs w:val="24"/>
        </w:rPr>
        <w:t xml:space="preserve"> </w:t>
      </w:r>
      <w:r w:rsidRPr="001B2483">
        <w:rPr>
          <w:rFonts w:ascii="Times New Roman" w:hAnsi="Times New Roman" w:cs="Times New Roman"/>
          <w:sz w:val="24"/>
          <w:szCs w:val="24"/>
        </w:rPr>
        <w:t xml:space="preserve">parties conferring for the purpose </w:t>
      </w:r>
      <w:r>
        <w:rPr>
          <w:rFonts w:ascii="Times New Roman" w:hAnsi="Times New Roman" w:cs="Times New Roman"/>
          <w:sz w:val="24"/>
          <w:szCs w:val="24"/>
        </w:rPr>
        <w:t xml:space="preserve">of </w:t>
      </w:r>
      <w:r w:rsidRPr="001B2483">
        <w:rPr>
          <w:rFonts w:ascii="Times New Roman" w:hAnsi="Times New Roman" w:cs="Times New Roman"/>
          <w:sz w:val="24"/>
          <w:szCs w:val="24"/>
        </w:rPr>
        <w:t>resolving or narrowing the issues in dispute and identifying the real issues that remain in dispute;</w:t>
      </w:r>
    </w:p>
    <w:bookmarkEnd w:id="14"/>
    <w:p w14:paraId="0D053176" w14:textId="77777777" w:rsidR="00554973" w:rsidRPr="00296399" w:rsidRDefault="00554973" w:rsidP="00554973">
      <w:pPr>
        <w:pStyle w:val="ListParagraph"/>
        <w:numPr>
          <w:ilvl w:val="0"/>
          <w:numId w:val="9"/>
        </w:numPr>
        <w:spacing w:after="0" w:line="360" w:lineRule="auto"/>
        <w:ind w:left="1276" w:hanging="556"/>
        <w:jc w:val="both"/>
        <w:rPr>
          <w:rFonts w:ascii="Times New Roman" w:hAnsi="Times New Roman" w:cs="Times New Roman"/>
          <w:sz w:val="28"/>
          <w:szCs w:val="28"/>
        </w:rPr>
      </w:pPr>
      <w:r>
        <w:rPr>
          <w:rFonts w:ascii="Times New Roman" w:hAnsi="Times New Roman" w:cs="Times New Roman"/>
          <w:sz w:val="24"/>
          <w:szCs w:val="24"/>
        </w:rPr>
        <w:t>a</w:t>
      </w:r>
      <w:r w:rsidRPr="00554973">
        <w:rPr>
          <w:rFonts w:ascii="Times New Roman" w:hAnsi="Times New Roman" w:cs="Times New Roman"/>
          <w:sz w:val="24"/>
          <w:szCs w:val="24"/>
        </w:rPr>
        <w:t xml:space="preserve"> </w:t>
      </w:r>
      <w:r>
        <w:rPr>
          <w:rFonts w:ascii="Times New Roman" w:hAnsi="Times New Roman" w:cs="Times New Roman"/>
          <w:sz w:val="24"/>
          <w:szCs w:val="24"/>
        </w:rPr>
        <w:t>d</w:t>
      </w:r>
      <w:r w:rsidRPr="001B2483">
        <w:rPr>
          <w:rFonts w:ascii="Times New Roman" w:hAnsi="Times New Roman" w:cs="Times New Roman"/>
          <w:sz w:val="24"/>
          <w:szCs w:val="24"/>
        </w:rPr>
        <w:t xml:space="preserve">ocument </w:t>
      </w:r>
      <w:r>
        <w:rPr>
          <w:rFonts w:ascii="Times New Roman" w:hAnsi="Times New Roman" w:cs="Times New Roman"/>
          <w:sz w:val="24"/>
          <w:szCs w:val="24"/>
        </w:rPr>
        <w:t>p</w:t>
      </w:r>
      <w:r w:rsidRPr="001B2483">
        <w:rPr>
          <w:rFonts w:ascii="Times New Roman" w:hAnsi="Times New Roman" w:cs="Times New Roman"/>
          <w:sz w:val="24"/>
          <w:szCs w:val="24"/>
        </w:rPr>
        <w:t>lan for the efficient management of both paper and electronic documents in the proceeding;</w:t>
      </w:r>
      <w:bookmarkEnd w:id="15"/>
    </w:p>
    <w:p w14:paraId="4992A83E" w14:textId="4342E508" w:rsidR="00296399" w:rsidRPr="004D1BE8" w:rsidRDefault="00296399" w:rsidP="00554973">
      <w:pPr>
        <w:pStyle w:val="ListParagraph"/>
        <w:numPr>
          <w:ilvl w:val="0"/>
          <w:numId w:val="9"/>
        </w:numPr>
        <w:spacing w:after="0" w:line="360" w:lineRule="auto"/>
        <w:ind w:left="1276" w:hanging="556"/>
        <w:jc w:val="both"/>
        <w:rPr>
          <w:rFonts w:ascii="Times New Roman" w:hAnsi="Times New Roman" w:cs="Times New Roman"/>
          <w:sz w:val="28"/>
          <w:szCs w:val="28"/>
        </w:rPr>
      </w:pPr>
      <w:r w:rsidRPr="004D1BE8">
        <w:rPr>
          <w:rFonts w:ascii="Times New Roman" w:hAnsi="Times New Roman" w:cs="Times New Roman"/>
          <w:sz w:val="24"/>
          <w:szCs w:val="24"/>
        </w:rPr>
        <w:t>disclosure, including early exchange of critical documents and specific disclosure directions;</w:t>
      </w:r>
    </w:p>
    <w:bookmarkEnd w:id="10"/>
    <w:p w14:paraId="61F6865E" w14:textId="77777777" w:rsidR="00554973" w:rsidRPr="00554973" w:rsidRDefault="0086600B" w:rsidP="00554973">
      <w:pPr>
        <w:pStyle w:val="ListParagraph"/>
        <w:numPr>
          <w:ilvl w:val="0"/>
          <w:numId w:val="9"/>
        </w:numPr>
        <w:spacing w:after="0" w:line="360" w:lineRule="auto"/>
        <w:ind w:left="1276" w:hanging="556"/>
        <w:jc w:val="both"/>
        <w:rPr>
          <w:rFonts w:ascii="Times New Roman" w:hAnsi="Times New Roman" w:cs="Times New Roman"/>
          <w:sz w:val="28"/>
          <w:szCs w:val="28"/>
        </w:rPr>
      </w:pPr>
      <w:r w:rsidRPr="00554973">
        <w:rPr>
          <w:rFonts w:ascii="Times New Roman" w:hAnsi="Times New Roman" w:cs="Times New Roman"/>
          <w:sz w:val="24"/>
          <w:szCs w:val="24"/>
        </w:rPr>
        <w:t>possible referral to alternative dispute resolution</w:t>
      </w:r>
      <w:r w:rsidR="001B2483" w:rsidRPr="00554973">
        <w:rPr>
          <w:rFonts w:ascii="Times New Roman" w:hAnsi="Times New Roman" w:cs="Times New Roman"/>
          <w:sz w:val="24"/>
          <w:szCs w:val="24"/>
        </w:rPr>
        <w:t>;</w:t>
      </w:r>
    </w:p>
    <w:bookmarkEnd w:id="11"/>
    <w:p w14:paraId="6182D026" w14:textId="77777777" w:rsidR="00554973" w:rsidRPr="00554973" w:rsidRDefault="001B2483" w:rsidP="00554973">
      <w:pPr>
        <w:pStyle w:val="ListParagraph"/>
        <w:numPr>
          <w:ilvl w:val="0"/>
          <w:numId w:val="9"/>
        </w:numPr>
        <w:spacing w:after="0" w:line="360" w:lineRule="auto"/>
        <w:ind w:left="1276" w:hanging="556"/>
        <w:jc w:val="both"/>
        <w:rPr>
          <w:rFonts w:ascii="Times New Roman" w:hAnsi="Times New Roman" w:cs="Times New Roman"/>
          <w:sz w:val="28"/>
          <w:szCs w:val="28"/>
        </w:rPr>
      </w:pPr>
      <w:r w:rsidRPr="00554973">
        <w:rPr>
          <w:rFonts w:ascii="Times New Roman" w:hAnsi="Times New Roman" w:cs="Times New Roman"/>
          <w:sz w:val="24"/>
          <w:szCs w:val="24"/>
        </w:rPr>
        <w:t xml:space="preserve">the </w:t>
      </w:r>
      <w:proofErr w:type="gramStart"/>
      <w:r w:rsidRPr="00554973">
        <w:rPr>
          <w:rFonts w:ascii="Times New Roman" w:hAnsi="Times New Roman" w:cs="Times New Roman"/>
          <w:sz w:val="24"/>
          <w:szCs w:val="24"/>
        </w:rPr>
        <w:t>manner in which</w:t>
      </w:r>
      <w:proofErr w:type="gramEnd"/>
      <w:r w:rsidRPr="00554973">
        <w:rPr>
          <w:rFonts w:ascii="Times New Roman" w:hAnsi="Times New Roman" w:cs="Times New Roman"/>
          <w:sz w:val="24"/>
          <w:szCs w:val="24"/>
        </w:rPr>
        <w:t xml:space="preserve"> lay evidence is expected to be presented (e.g.</w:t>
      </w:r>
      <w:r w:rsidR="00554973">
        <w:rPr>
          <w:rFonts w:ascii="Times New Roman" w:hAnsi="Times New Roman" w:cs="Times New Roman"/>
          <w:sz w:val="24"/>
          <w:szCs w:val="24"/>
        </w:rPr>
        <w:t xml:space="preserve">, </w:t>
      </w:r>
      <w:r w:rsidRPr="00554973">
        <w:rPr>
          <w:rFonts w:ascii="Times New Roman" w:hAnsi="Times New Roman" w:cs="Times New Roman"/>
          <w:sz w:val="24"/>
          <w:szCs w:val="24"/>
        </w:rPr>
        <w:t>witness summaries, witness statements, affidavits or a combination of the same);</w:t>
      </w:r>
    </w:p>
    <w:bookmarkEnd w:id="12"/>
    <w:p w14:paraId="2FED373F" w14:textId="77777777" w:rsidR="00554973" w:rsidRPr="00554973" w:rsidRDefault="001B2483" w:rsidP="00554973">
      <w:pPr>
        <w:pStyle w:val="ListParagraph"/>
        <w:numPr>
          <w:ilvl w:val="0"/>
          <w:numId w:val="9"/>
        </w:numPr>
        <w:spacing w:after="0" w:line="360" w:lineRule="auto"/>
        <w:ind w:left="1276" w:hanging="556"/>
        <w:jc w:val="both"/>
        <w:rPr>
          <w:rFonts w:ascii="Times New Roman" w:hAnsi="Times New Roman" w:cs="Times New Roman"/>
          <w:sz w:val="28"/>
          <w:szCs w:val="28"/>
        </w:rPr>
      </w:pPr>
      <w:r w:rsidRPr="00554973">
        <w:rPr>
          <w:rFonts w:ascii="Times New Roman" w:hAnsi="Times New Roman" w:cs="Times New Roman"/>
          <w:sz w:val="24"/>
          <w:szCs w:val="24"/>
        </w:rPr>
        <w:t>expert evidence;</w:t>
      </w:r>
    </w:p>
    <w:p w14:paraId="6123CD81" w14:textId="77777777" w:rsidR="00554973" w:rsidRPr="00554973" w:rsidRDefault="0086600B" w:rsidP="00554973">
      <w:pPr>
        <w:pStyle w:val="ListParagraph"/>
        <w:numPr>
          <w:ilvl w:val="0"/>
          <w:numId w:val="9"/>
        </w:numPr>
        <w:spacing w:after="0" w:line="360" w:lineRule="auto"/>
        <w:ind w:left="1276" w:hanging="556"/>
        <w:jc w:val="both"/>
        <w:rPr>
          <w:rFonts w:ascii="Times New Roman" w:hAnsi="Times New Roman" w:cs="Times New Roman"/>
          <w:sz w:val="28"/>
          <w:szCs w:val="28"/>
        </w:rPr>
      </w:pPr>
      <w:r w:rsidRPr="00554973">
        <w:rPr>
          <w:rFonts w:ascii="Times New Roman" w:hAnsi="Times New Roman" w:cs="Times New Roman"/>
          <w:sz w:val="24"/>
          <w:szCs w:val="24"/>
        </w:rPr>
        <w:t>trial directions; and</w:t>
      </w:r>
    </w:p>
    <w:p w14:paraId="1DE7C0DB" w14:textId="1AB9B364" w:rsidR="0086600B" w:rsidRPr="00554973" w:rsidRDefault="0086600B" w:rsidP="00554973">
      <w:pPr>
        <w:pStyle w:val="ListParagraph"/>
        <w:numPr>
          <w:ilvl w:val="0"/>
          <w:numId w:val="9"/>
        </w:numPr>
        <w:spacing w:after="0" w:line="360" w:lineRule="auto"/>
        <w:ind w:left="1276" w:hanging="556"/>
        <w:jc w:val="both"/>
        <w:rPr>
          <w:rFonts w:ascii="Times New Roman" w:hAnsi="Times New Roman" w:cs="Times New Roman"/>
          <w:sz w:val="28"/>
          <w:szCs w:val="28"/>
        </w:rPr>
      </w:pPr>
      <w:r w:rsidRPr="00554973">
        <w:rPr>
          <w:rFonts w:ascii="Times New Roman" w:hAnsi="Times New Roman" w:cs="Times New Roman"/>
          <w:sz w:val="24"/>
          <w:szCs w:val="24"/>
        </w:rPr>
        <w:lastRenderedPageBreak/>
        <w:t>agreeing a trial plan.</w:t>
      </w:r>
    </w:p>
    <w:bookmarkEnd w:id="16"/>
    <w:bookmarkEnd w:id="13"/>
    <w:p w14:paraId="0971EAB4" w14:textId="43E1BBA7" w:rsidR="0086600B" w:rsidRDefault="001B2483" w:rsidP="00CC3627">
      <w:pPr>
        <w:pStyle w:val="ListParagraph"/>
        <w:tabs>
          <w:tab w:val="left" w:pos="567"/>
          <w:tab w:val="left" w:pos="1134"/>
        </w:tabs>
        <w:spacing w:line="360" w:lineRule="auto"/>
        <w:ind w:left="1080" w:right="237"/>
        <w:jc w:val="both"/>
        <w:rPr>
          <w:rFonts w:ascii="Times New Roman" w:hAnsi="Times New Roman" w:cs="Times New Roman"/>
          <w:color w:val="2F5496" w:themeColor="accent1" w:themeShade="BF"/>
          <w:sz w:val="24"/>
          <w:szCs w:val="24"/>
        </w:rPr>
      </w:pPr>
      <w:r w:rsidRPr="001B2483">
        <w:rPr>
          <w:rFonts w:ascii="Times New Roman" w:hAnsi="Times New Roman" w:cs="Times New Roman"/>
          <w:color w:val="2F5496" w:themeColor="accent1" w:themeShade="BF"/>
          <w:sz w:val="24"/>
          <w:szCs w:val="24"/>
        </w:rPr>
        <w:t>[insert link or links in the text]</w:t>
      </w:r>
    </w:p>
    <w:p w14:paraId="68A66BBF" w14:textId="77777777" w:rsidR="00CC3627" w:rsidRPr="00CC3627" w:rsidRDefault="00CC3627" w:rsidP="00CC3627">
      <w:pPr>
        <w:pStyle w:val="ListParagraph"/>
        <w:tabs>
          <w:tab w:val="left" w:pos="567"/>
          <w:tab w:val="left" w:pos="1134"/>
        </w:tabs>
        <w:spacing w:line="360" w:lineRule="auto"/>
        <w:ind w:left="1080" w:right="237"/>
        <w:jc w:val="both"/>
        <w:rPr>
          <w:rFonts w:ascii="Times New Roman" w:hAnsi="Times New Roman" w:cs="Times New Roman"/>
          <w:color w:val="2F5496" w:themeColor="accent1" w:themeShade="BF"/>
          <w:sz w:val="24"/>
          <w:szCs w:val="24"/>
        </w:rPr>
      </w:pPr>
    </w:p>
    <w:p w14:paraId="4F7CB6C0" w14:textId="37C86368" w:rsidR="00735453" w:rsidRPr="00CC3627" w:rsidRDefault="001B2483" w:rsidP="00CC3627">
      <w:pPr>
        <w:tabs>
          <w:tab w:val="left" w:pos="284"/>
        </w:tabs>
        <w:spacing w:line="360" w:lineRule="auto"/>
        <w:jc w:val="both"/>
        <w:rPr>
          <w:rFonts w:ascii="Times New Roman" w:hAnsi="Times New Roman" w:cs="Times New Roman"/>
          <w:b/>
          <w:bCs/>
          <w:sz w:val="24"/>
          <w:szCs w:val="24"/>
        </w:rPr>
      </w:pPr>
      <w:r w:rsidRPr="00D72907">
        <w:rPr>
          <w:rFonts w:ascii="Times New Roman" w:hAnsi="Times New Roman" w:cs="Times New Roman"/>
          <w:b/>
          <w:bCs/>
          <w:sz w:val="24"/>
          <w:szCs w:val="24"/>
        </w:rPr>
        <w:t>Urgent Matters / Fast Track Directions</w:t>
      </w:r>
    </w:p>
    <w:p w14:paraId="0C4F12BA" w14:textId="03BA965E" w:rsidR="001B2483" w:rsidRPr="001B2483" w:rsidRDefault="001B2483" w:rsidP="00D946A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Draft</w:t>
      </w:r>
      <w:r w:rsidRPr="00D72907">
        <w:rPr>
          <w:rFonts w:ascii="Times New Roman" w:hAnsi="Times New Roman" w:cs="Times New Roman"/>
          <w:sz w:val="24"/>
          <w:szCs w:val="24"/>
        </w:rPr>
        <w:t xml:space="preserve"> directions for the proceeding to be conducted </w:t>
      </w:r>
      <w:r>
        <w:rPr>
          <w:rFonts w:ascii="Times New Roman" w:hAnsi="Times New Roman" w:cs="Times New Roman"/>
          <w:sz w:val="24"/>
          <w:szCs w:val="24"/>
        </w:rPr>
        <w:t>by way of</w:t>
      </w:r>
      <w:r w:rsidRPr="00D72907">
        <w:rPr>
          <w:rFonts w:ascii="Times New Roman" w:hAnsi="Times New Roman" w:cs="Times New Roman"/>
          <w:sz w:val="24"/>
          <w:szCs w:val="24"/>
        </w:rPr>
        <w:t xml:space="preserve"> Fast Track Directions</w:t>
      </w:r>
      <w:r>
        <w:rPr>
          <w:rFonts w:ascii="Times New Roman" w:hAnsi="Times New Roman" w:cs="Times New Roman"/>
          <w:sz w:val="24"/>
          <w:szCs w:val="24"/>
        </w:rPr>
        <w:t xml:space="preserve"> may be accessed </w:t>
      </w:r>
      <w:r w:rsidRPr="001B2483">
        <w:rPr>
          <w:rFonts w:ascii="Times New Roman" w:hAnsi="Times New Roman" w:cs="Times New Roman"/>
          <w:color w:val="2F5496" w:themeColor="accent1" w:themeShade="BF"/>
          <w:sz w:val="24"/>
          <w:szCs w:val="24"/>
        </w:rPr>
        <w:t>here</w:t>
      </w:r>
      <w:r w:rsidR="00CC3627" w:rsidRPr="00CC3627">
        <w:rPr>
          <w:rFonts w:ascii="Times New Roman" w:hAnsi="Times New Roman" w:cs="Times New Roman"/>
          <w:sz w:val="24"/>
          <w:szCs w:val="24"/>
        </w:rPr>
        <w:t>.</w:t>
      </w:r>
      <w:r w:rsidRPr="00CC3627">
        <w:rPr>
          <w:rFonts w:ascii="Times New Roman" w:hAnsi="Times New Roman" w:cs="Times New Roman"/>
          <w:sz w:val="24"/>
          <w:szCs w:val="24"/>
        </w:rPr>
        <w:t xml:space="preserve"> </w:t>
      </w:r>
      <w:r w:rsidRPr="001B2483">
        <w:rPr>
          <w:rFonts w:ascii="Times New Roman" w:hAnsi="Times New Roman" w:cs="Times New Roman"/>
          <w:color w:val="2F5496" w:themeColor="accent1" w:themeShade="BF"/>
          <w:sz w:val="24"/>
          <w:szCs w:val="24"/>
        </w:rPr>
        <w:t>[insert link]</w:t>
      </w:r>
    </w:p>
    <w:p w14:paraId="005CD01C" w14:textId="77777777" w:rsidR="0086600B" w:rsidRPr="00D946A0" w:rsidRDefault="0086600B" w:rsidP="00D946A0">
      <w:pPr>
        <w:spacing w:after="0" w:line="360" w:lineRule="auto"/>
        <w:jc w:val="both"/>
        <w:rPr>
          <w:rFonts w:ascii="Times New Roman" w:hAnsi="Times New Roman" w:cs="Times New Roman"/>
          <w:b/>
          <w:bCs/>
          <w:sz w:val="24"/>
          <w:szCs w:val="24"/>
        </w:rPr>
      </w:pPr>
    </w:p>
    <w:p w14:paraId="6E7540E2" w14:textId="68282F6B" w:rsidR="00735453" w:rsidRPr="00E26F1C" w:rsidRDefault="0086600B" w:rsidP="00E26F1C">
      <w:pPr>
        <w:tabs>
          <w:tab w:val="left" w:pos="284"/>
        </w:tabs>
        <w:spacing w:line="360" w:lineRule="auto"/>
        <w:jc w:val="both"/>
        <w:rPr>
          <w:rFonts w:ascii="Times New Roman" w:hAnsi="Times New Roman" w:cs="Times New Roman"/>
          <w:b/>
          <w:bCs/>
          <w:sz w:val="24"/>
          <w:szCs w:val="24"/>
        </w:rPr>
      </w:pPr>
      <w:r w:rsidRPr="00530F49">
        <w:rPr>
          <w:rFonts w:ascii="Times New Roman" w:hAnsi="Times New Roman" w:cs="Times New Roman"/>
          <w:b/>
          <w:bCs/>
          <w:sz w:val="24"/>
          <w:szCs w:val="24"/>
        </w:rPr>
        <w:t>Use of technology</w:t>
      </w:r>
    </w:p>
    <w:p w14:paraId="3BA1F6FC" w14:textId="6C37278D" w:rsidR="00BF6C42" w:rsidRPr="00BF6C42" w:rsidRDefault="0086600B" w:rsidP="00BF6C42">
      <w:pPr>
        <w:pStyle w:val="ListParagraph"/>
        <w:numPr>
          <w:ilvl w:val="0"/>
          <w:numId w:val="1"/>
        </w:numPr>
        <w:spacing w:after="0" w:line="360" w:lineRule="auto"/>
        <w:jc w:val="both"/>
        <w:rPr>
          <w:rFonts w:ascii="Times New Roman" w:hAnsi="Times New Roman" w:cs="Times New Roman"/>
          <w:sz w:val="24"/>
          <w:szCs w:val="24"/>
        </w:rPr>
      </w:pPr>
      <w:r w:rsidRPr="00530F49">
        <w:rPr>
          <w:rFonts w:ascii="Times New Roman" w:hAnsi="Times New Roman" w:cs="Times New Roman"/>
          <w:sz w:val="24"/>
          <w:szCs w:val="24"/>
        </w:rPr>
        <w:t>Th</w:t>
      </w:r>
      <w:r>
        <w:rPr>
          <w:rFonts w:ascii="Times New Roman" w:hAnsi="Times New Roman" w:cs="Times New Roman"/>
          <w:sz w:val="24"/>
          <w:szCs w:val="24"/>
        </w:rPr>
        <w:t>e use is encouraged, where appropriate, of technology permitting the taking</w:t>
      </w:r>
      <w:r w:rsidR="00E26F1C">
        <w:rPr>
          <w:rFonts w:ascii="Times New Roman" w:hAnsi="Times New Roman" w:cs="Times New Roman"/>
          <w:sz w:val="24"/>
          <w:szCs w:val="24"/>
        </w:rPr>
        <w:t xml:space="preserve"> in</w:t>
      </w:r>
      <w:r>
        <w:rPr>
          <w:rFonts w:ascii="Times New Roman" w:hAnsi="Times New Roman" w:cs="Times New Roman"/>
          <w:sz w:val="24"/>
          <w:szCs w:val="24"/>
        </w:rPr>
        <w:t xml:space="preserve"> of evidence or other conduct of proceedings by video link or telephone</w:t>
      </w:r>
      <w:r w:rsidR="00E26F1C">
        <w:rPr>
          <w:rFonts w:ascii="Times New Roman" w:hAnsi="Times New Roman" w:cs="Times New Roman"/>
          <w:sz w:val="24"/>
          <w:szCs w:val="24"/>
        </w:rPr>
        <w:t xml:space="preserve"> conference,</w:t>
      </w:r>
      <w:r>
        <w:rPr>
          <w:rFonts w:ascii="Times New Roman" w:hAnsi="Times New Roman" w:cs="Times New Roman"/>
          <w:sz w:val="24"/>
          <w:szCs w:val="24"/>
        </w:rPr>
        <w:t xml:space="preserve"> and the management of documents and transcript</w:t>
      </w:r>
      <w:r w:rsidR="00E26F1C">
        <w:rPr>
          <w:rFonts w:ascii="Times New Roman" w:hAnsi="Times New Roman" w:cs="Times New Roman"/>
          <w:sz w:val="24"/>
          <w:szCs w:val="24"/>
        </w:rPr>
        <w:t>s</w:t>
      </w:r>
      <w:r>
        <w:rPr>
          <w:rFonts w:ascii="Times New Roman" w:hAnsi="Times New Roman" w:cs="Times New Roman"/>
          <w:sz w:val="24"/>
          <w:szCs w:val="24"/>
        </w:rPr>
        <w:t xml:space="preserve">. Practitioners should propose the use of such technology when appropriate, and the Court may give directions involving its use: for example, in major cases with a view to statements, documents and </w:t>
      </w:r>
      <w:r w:rsidR="00E26F1C">
        <w:rPr>
          <w:rFonts w:ascii="Times New Roman" w:hAnsi="Times New Roman" w:cs="Times New Roman"/>
          <w:sz w:val="24"/>
          <w:szCs w:val="24"/>
        </w:rPr>
        <w:t>transcripts</w:t>
      </w:r>
      <w:r>
        <w:rPr>
          <w:rFonts w:ascii="Times New Roman" w:hAnsi="Times New Roman" w:cs="Times New Roman"/>
          <w:sz w:val="24"/>
          <w:szCs w:val="24"/>
        </w:rPr>
        <w:t xml:space="preserve"> being available to all concerned on a common data base. </w:t>
      </w:r>
    </w:p>
    <w:p w14:paraId="5B39BF7B" w14:textId="77777777" w:rsidR="00BF6C42" w:rsidRPr="00BF6C42" w:rsidRDefault="00BF6C42" w:rsidP="00BF6C42">
      <w:pPr>
        <w:spacing w:after="0" w:line="360" w:lineRule="auto"/>
        <w:jc w:val="both"/>
        <w:rPr>
          <w:rFonts w:ascii="Times New Roman" w:hAnsi="Times New Roman" w:cs="Times New Roman"/>
          <w:sz w:val="24"/>
          <w:szCs w:val="24"/>
        </w:rPr>
      </w:pPr>
    </w:p>
    <w:p w14:paraId="1FCABAE3" w14:textId="43CFCC54" w:rsidR="00DE501E" w:rsidRPr="00BF6C42" w:rsidRDefault="00DE501E" w:rsidP="00BF6C42">
      <w:pPr>
        <w:tabs>
          <w:tab w:val="left" w:pos="284"/>
        </w:tabs>
        <w:spacing w:line="360" w:lineRule="auto"/>
        <w:jc w:val="both"/>
        <w:rPr>
          <w:rFonts w:ascii="Times New Roman" w:hAnsi="Times New Roman" w:cs="Times New Roman"/>
          <w:b/>
          <w:bCs/>
          <w:sz w:val="24"/>
          <w:szCs w:val="24"/>
        </w:rPr>
      </w:pPr>
      <w:r w:rsidRPr="00DE501E">
        <w:rPr>
          <w:rFonts w:ascii="Times New Roman" w:hAnsi="Times New Roman" w:cs="Times New Roman"/>
          <w:b/>
          <w:bCs/>
          <w:sz w:val="24"/>
          <w:szCs w:val="24"/>
        </w:rPr>
        <w:t>Electronic document filing and management of proceedings on the Commercial List</w:t>
      </w:r>
    </w:p>
    <w:p w14:paraId="4595D6A4" w14:textId="234718E9" w:rsidR="0086600B" w:rsidRDefault="0086600B" w:rsidP="00D946A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the parties have not agreed a protocol for the electronic filing and management of documents, then they should follow the process that the Commercial List has established. </w:t>
      </w:r>
      <w:r w:rsidR="00DE501E" w:rsidRPr="0086600B">
        <w:rPr>
          <w:rFonts w:ascii="Times New Roman" w:hAnsi="Times New Roman" w:cs="Times New Roman"/>
          <w:sz w:val="24"/>
          <w:szCs w:val="24"/>
        </w:rPr>
        <w:t xml:space="preserve"> </w:t>
      </w:r>
    </w:p>
    <w:p w14:paraId="79937164" w14:textId="77777777" w:rsidR="00735453" w:rsidRPr="0086600B" w:rsidRDefault="00735453" w:rsidP="00735453">
      <w:pPr>
        <w:pStyle w:val="ListParagraph"/>
        <w:spacing w:after="0" w:line="360" w:lineRule="auto"/>
        <w:jc w:val="both"/>
        <w:rPr>
          <w:rFonts w:ascii="Times New Roman" w:hAnsi="Times New Roman" w:cs="Times New Roman"/>
          <w:sz w:val="24"/>
          <w:szCs w:val="24"/>
        </w:rPr>
      </w:pPr>
    </w:p>
    <w:p w14:paraId="58FB8F6C" w14:textId="4706E80E" w:rsidR="00BF6C42" w:rsidRDefault="00DE501E" w:rsidP="00972FAC">
      <w:pPr>
        <w:pStyle w:val="ListParagraph"/>
        <w:numPr>
          <w:ilvl w:val="0"/>
          <w:numId w:val="1"/>
        </w:numPr>
        <w:spacing w:line="360" w:lineRule="auto"/>
        <w:jc w:val="both"/>
        <w:rPr>
          <w:rFonts w:ascii="Times New Roman" w:hAnsi="Times New Roman" w:cs="Times New Roman"/>
          <w:color w:val="2F5496" w:themeColor="accent1" w:themeShade="BF"/>
          <w:sz w:val="24"/>
          <w:szCs w:val="24"/>
        </w:rPr>
      </w:pPr>
      <w:r>
        <w:rPr>
          <w:rFonts w:ascii="Times New Roman" w:hAnsi="Times New Roman" w:cs="Times New Roman"/>
          <w:sz w:val="24"/>
          <w:szCs w:val="24"/>
        </w:rPr>
        <w:t xml:space="preserve">This matter is the subject of a separate </w:t>
      </w:r>
      <w:r w:rsidR="00C24192">
        <w:rPr>
          <w:rFonts w:ascii="Times New Roman" w:hAnsi="Times New Roman" w:cs="Times New Roman"/>
          <w:sz w:val="24"/>
          <w:szCs w:val="24"/>
        </w:rPr>
        <w:t>N</w:t>
      </w:r>
      <w:r>
        <w:rPr>
          <w:rFonts w:ascii="Times New Roman" w:hAnsi="Times New Roman" w:cs="Times New Roman"/>
          <w:sz w:val="24"/>
          <w:szCs w:val="24"/>
        </w:rPr>
        <w:t xml:space="preserve">ote which can be accessed </w:t>
      </w:r>
      <w:r w:rsidRPr="001B2483">
        <w:rPr>
          <w:rFonts w:ascii="Times New Roman" w:hAnsi="Times New Roman" w:cs="Times New Roman"/>
          <w:color w:val="2F5496" w:themeColor="accent1" w:themeShade="BF"/>
          <w:sz w:val="24"/>
          <w:szCs w:val="24"/>
        </w:rPr>
        <w:t>here</w:t>
      </w:r>
      <w:r w:rsidR="00BF6C42" w:rsidRPr="00BF6C42">
        <w:rPr>
          <w:rFonts w:ascii="Times New Roman" w:hAnsi="Times New Roman" w:cs="Times New Roman"/>
          <w:sz w:val="24"/>
          <w:szCs w:val="24"/>
        </w:rPr>
        <w:t>.</w:t>
      </w:r>
      <w:r w:rsidRPr="00BF6C42">
        <w:rPr>
          <w:rFonts w:ascii="Times New Roman" w:hAnsi="Times New Roman" w:cs="Times New Roman"/>
          <w:sz w:val="24"/>
          <w:szCs w:val="24"/>
        </w:rPr>
        <w:t xml:space="preserve"> </w:t>
      </w:r>
      <w:r w:rsidRPr="0086600B">
        <w:rPr>
          <w:rFonts w:ascii="Times New Roman" w:hAnsi="Times New Roman" w:cs="Times New Roman"/>
          <w:color w:val="2F5496" w:themeColor="accent1" w:themeShade="BF"/>
          <w:sz w:val="24"/>
          <w:szCs w:val="24"/>
        </w:rPr>
        <w:t>[insert hyperlink]</w:t>
      </w:r>
    </w:p>
    <w:p w14:paraId="6F014A5C" w14:textId="77777777" w:rsidR="00972FAC" w:rsidRPr="00972FAC" w:rsidRDefault="00972FAC" w:rsidP="00972FAC">
      <w:pPr>
        <w:pStyle w:val="ListParagraph"/>
        <w:spacing w:after="0" w:line="360" w:lineRule="auto"/>
        <w:jc w:val="both"/>
        <w:rPr>
          <w:rFonts w:ascii="Times New Roman" w:hAnsi="Times New Roman" w:cs="Times New Roman"/>
          <w:color w:val="2F5496" w:themeColor="accent1" w:themeShade="BF"/>
          <w:sz w:val="24"/>
          <w:szCs w:val="24"/>
        </w:rPr>
      </w:pPr>
    </w:p>
    <w:p w14:paraId="728879E0" w14:textId="48B7808E" w:rsidR="00C24192" w:rsidRPr="00BF6C42" w:rsidRDefault="00C24192" w:rsidP="00BF6C42">
      <w:pPr>
        <w:tabs>
          <w:tab w:val="left" w:pos="284"/>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Disclosure</w:t>
      </w:r>
    </w:p>
    <w:p w14:paraId="19242FFC" w14:textId="287205DC" w:rsidR="00C24192" w:rsidRDefault="00C24192" w:rsidP="00D946A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Parties are subject to the general obligation in Practice Direction 18 of 2018 to adopt “a proportionate and efficient approach to the management of both paper and electronic documents at all stages of the litigation”.</w:t>
      </w:r>
    </w:p>
    <w:p w14:paraId="39579E91" w14:textId="77777777" w:rsidR="00735453" w:rsidRDefault="00735453" w:rsidP="00735453">
      <w:pPr>
        <w:pStyle w:val="ListParagraph"/>
        <w:spacing w:after="0" w:line="360" w:lineRule="auto"/>
        <w:jc w:val="both"/>
        <w:rPr>
          <w:rFonts w:ascii="Times New Roman" w:hAnsi="Times New Roman" w:cs="Times New Roman"/>
          <w:sz w:val="24"/>
          <w:szCs w:val="24"/>
        </w:rPr>
      </w:pPr>
    </w:p>
    <w:p w14:paraId="539EF6B2" w14:textId="2E6E3AC9" w:rsidR="00C24192" w:rsidRDefault="00C24192" w:rsidP="00D946A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endorses a flexible rather than a prescriptive approach to disclosure and the management of documents at all stages of proceedings on the Commercial List.</w:t>
      </w:r>
    </w:p>
    <w:p w14:paraId="55D20A8F" w14:textId="77777777" w:rsidR="00BF6C42" w:rsidRPr="00BF6C42" w:rsidRDefault="00BF6C42" w:rsidP="00BF6C42">
      <w:pPr>
        <w:spacing w:after="0" w:line="360" w:lineRule="auto"/>
        <w:jc w:val="both"/>
        <w:rPr>
          <w:rFonts w:ascii="Times New Roman" w:hAnsi="Times New Roman" w:cs="Times New Roman"/>
          <w:sz w:val="24"/>
          <w:szCs w:val="24"/>
        </w:rPr>
      </w:pPr>
    </w:p>
    <w:p w14:paraId="63E3F980" w14:textId="716AEBC0" w:rsidR="00C24192" w:rsidRDefault="00C24192" w:rsidP="00D946A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Unless exceptional circumstances </w:t>
      </w:r>
      <w:r w:rsidR="00F911FB">
        <w:rPr>
          <w:rFonts w:ascii="Times New Roman" w:hAnsi="Times New Roman" w:cs="Times New Roman"/>
          <w:sz w:val="24"/>
          <w:szCs w:val="24"/>
        </w:rPr>
        <w:t>necessitate such a course, an order for disclosure is unlikely to be made until:</w:t>
      </w:r>
    </w:p>
    <w:p w14:paraId="7031516D" w14:textId="77777777" w:rsidR="00972FAC" w:rsidRPr="00972FAC" w:rsidRDefault="00972FAC" w:rsidP="00972FAC">
      <w:pPr>
        <w:pStyle w:val="ListParagraph"/>
        <w:numPr>
          <w:ilvl w:val="0"/>
          <w:numId w:val="10"/>
        </w:numPr>
        <w:spacing w:after="0" w:line="360" w:lineRule="auto"/>
        <w:ind w:left="1276" w:hanging="556"/>
        <w:jc w:val="both"/>
        <w:rPr>
          <w:rFonts w:ascii="Times New Roman" w:hAnsi="Times New Roman" w:cs="Times New Roman"/>
          <w:sz w:val="28"/>
          <w:szCs w:val="28"/>
        </w:rPr>
      </w:pPr>
      <w:r>
        <w:rPr>
          <w:rFonts w:ascii="Times New Roman" w:hAnsi="Times New Roman" w:cs="Times New Roman"/>
          <w:sz w:val="24"/>
          <w:szCs w:val="24"/>
        </w:rPr>
        <w:t>the parties have identified the real issues in dispute;</w:t>
      </w:r>
    </w:p>
    <w:p w14:paraId="33BD212D" w14:textId="77777777" w:rsidR="00972FAC" w:rsidRPr="00972FAC" w:rsidRDefault="00972FAC" w:rsidP="00972FAC">
      <w:pPr>
        <w:pStyle w:val="ListParagraph"/>
        <w:numPr>
          <w:ilvl w:val="0"/>
          <w:numId w:val="10"/>
        </w:numPr>
        <w:spacing w:after="0" w:line="360" w:lineRule="auto"/>
        <w:ind w:left="1276" w:hanging="556"/>
        <w:jc w:val="both"/>
        <w:rPr>
          <w:rFonts w:ascii="Times New Roman" w:hAnsi="Times New Roman" w:cs="Times New Roman"/>
          <w:sz w:val="28"/>
          <w:szCs w:val="28"/>
        </w:rPr>
      </w:pPr>
      <w:r w:rsidRPr="00972FAC">
        <w:rPr>
          <w:rFonts w:ascii="Times New Roman" w:hAnsi="Times New Roman" w:cs="Times New Roman"/>
          <w:sz w:val="24"/>
          <w:szCs w:val="24"/>
        </w:rPr>
        <w:t>a document plan is developed to facilitate disclosure and inspection;</w:t>
      </w:r>
    </w:p>
    <w:p w14:paraId="603FFCBD" w14:textId="77777777" w:rsidR="00972FAC" w:rsidRPr="00972FAC" w:rsidRDefault="00972FAC" w:rsidP="00972FAC">
      <w:pPr>
        <w:pStyle w:val="ListParagraph"/>
        <w:numPr>
          <w:ilvl w:val="0"/>
          <w:numId w:val="10"/>
        </w:numPr>
        <w:spacing w:after="0" w:line="360" w:lineRule="auto"/>
        <w:ind w:left="1276" w:hanging="556"/>
        <w:jc w:val="both"/>
        <w:rPr>
          <w:rFonts w:ascii="Times New Roman" w:hAnsi="Times New Roman" w:cs="Times New Roman"/>
          <w:sz w:val="28"/>
          <w:szCs w:val="28"/>
        </w:rPr>
      </w:pPr>
      <w:r w:rsidRPr="00972FAC">
        <w:rPr>
          <w:rFonts w:ascii="Times New Roman" w:hAnsi="Times New Roman" w:cs="Times New Roman"/>
          <w:sz w:val="24"/>
          <w:szCs w:val="24"/>
        </w:rPr>
        <w:t>the parties have considered and conferred about the documents or categories of documents that should be the subject of a specific order, and the searches that are reasonable to undertake to locate them; an</w:t>
      </w:r>
      <w:r>
        <w:rPr>
          <w:rFonts w:ascii="Times New Roman" w:hAnsi="Times New Roman" w:cs="Times New Roman"/>
          <w:sz w:val="24"/>
          <w:szCs w:val="24"/>
        </w:rPr>
        <w:t>d</w:t>
      </w:r>
    </w:p>
    <w:p w14:paraId="02FB5340" w14:textId="489A3DC1" w:rsidR="00972FAC" w:rsidRPr="00972FAC" w:rsidRDefault="00972FAC" w:rsidP="00972FAC">
      <w:pPr>
        <w:pStyle w:val="ListParagraph"/>
        <w:numPr>
          <w:ilvl w:val="0"/>
          <w:numId w:val="10"/>
        </w:numPr>
        <w:spacing w:after="0" w:line="360" w:lineRule="auto"/>
        <w:ind w:left="1276" w:hanging="556"/>
        <w:jc w:val="both"/>
        <w:rPr>
          <w:rFonts w:ascii="Times New Roman" w:hAnsi="Times New Roman" w:cs="Times New Roman"/>
          <w:sz w:val="28"/>
          <w:szCs w:val="28"/>
        </w:rPr>
      </w:pPr>
      <w:r w:rsidRPr="00972FAC">
        <w:rPr>
          <w:rFonts w:ascii="Times New Roman" w:hAnsi="Times New Roman" w:cs="Times New Roman"/>
          <w:sz w:val="24"/>
          <w:szCs w:val="24"/>
        </w:rPr>
        <w:t>possibly, until the parties have served their evidence.</w:t>
      </w:r>
      <w:r>
        <w:rPr>
          <w:rStyle w:val="FootnoteReference"/>
          <w:rFonts w:ascii="Times New Roman" w:hAnsi="Times New Roman" w:cs="Times New Roman"/>
          <w:sz w:val="24"/>
          <w:szCs w:val="24"/>
        </w:rPr>
        <w:footnoteReference w:id="1"/>
      </w:r>
      <w:r w:rsidRPr="00972FAC">
        <w:rPr>
          <w:rFonts w:ascii="Times New Roman" w:hAnsi="Times New Roman" w:cs="Times New Roman"/>
          <w:sz w:val="24"/>
          <w:szCs w:val="24"/>
        </w:rPr>
        <w:t xml:space="preserve"> </w:t>
      </w:r>
    </w:p>
    <w:p w14:paraId="172F538F" w14:textId="77777777" w:rsidR="00A04232" w:rsidRPr="00972FAC" w:rsidRDefault="00A04232" w:rsidP="00972FAC">
      <w:pPr>
        <w:spacing w:after="0" w:line="360" w:lineRule="auto"/>
        <w:jc w:val="both"/>
        <w:rPr>
          <w:rFonts w:ascii="Times New Roman" w:hAnsi="Times New Roman" w:cs="Times New Roman"/>
          <w:sz w:val="24"/>
          <w:szCs w:val="24"/>
        </w:rPr>
      </w:pPr>
    </w:p>
    <w:p w14:paraId="4210681B" w14:textId="4A40FF5C" w:rsidR="00735453" w:rsidRDefault="00A04232" w:rsidP="00735453">
      <w:pPr>
        <w:pStyle w:val="ListParagraph"/>
        <w:numPr>
          <w:ilvl w:val="0"/>
          <w:numId w:val="1"/>
        </w:numPr>
        <w:spacing w:line="360" w:lineRule="auto"/>
        <w:rPr>
          <w:rFonts w:ascii="Times New Roman" w:hAnsi="Times New Roman" w:cs="Times New Roman"/>
          <w:sz w:val="24"/>
        </w:rPr>
      </w:pPr>
      <w:r w:rsidRPr="00A04232">
        <w:rPr>
          <w:rFonts w:ascii="Times New Roman" w:hAnsi="Times New Roman" w:cs="Times New Roman"/>
          <w:sz w:val="24"/>
        </w:rPr>
        <w:t>Depending on the circumstances, the parties may agree, or the Court may order, one or more of a variety of options for the management of documents.</w:t>
      </w:r>
      <w:r w:rsidRPr="00A04232">
        <w:rPr>
          <w:rFonts w:ascii="Times New Roman" w:hAnsi="Times New Roman" w:cs="Times New Roman"/>
          <w:spacing w:val="40"/>
          <w:sz w:val="24"/>
        </w:rPr>
        <w:t xml:space="preserve"> </w:t>
      </w:r>
      <w:r w:rsidRPr="00A04232">
        <w:rPr>
          <w:rFonts w:ascii="Times New Roman" w:hAnsi="Times New Roman" w:cs="Times New Roman"/>
          <w:sz w:val="24"/>
        </w:rPr>
        <w:t>These include:</w:t>
      </w:r>
    </w:p>
    <w:p w14:paraId="2298ABC3" w14:textId="14ED5817" w:rsidR="00972FAC" w:rsidRPr="00972FAC" w:rsidRDefault="00972FAC" w:rsidP="00972FAC">
      <w:pPr>
        <w:pStyle w:val="ListParagraph"/>
        <w:numPr>
          <w:ilvl w:val="0"/>
          <w:numId w:val="11"/>
        </w:numPr>
        <w:spacing w:after="0" w:line="360" w:lineRule="auto"/>
        <w:ind w:left="1276" w:hanging="556"/>
        <w:jc w:val="both"/>
        <w:rPr>
          <w:rFonts w:ascii="Times New Roman" w:hAnsi="Times New Roman" w:cs="Times New Roman"/>
          <w:sz w:val="28"/>
          <w:szCs w:val="28"/>
        </w:rPr>
      </w:pPr>
      <w:r>
        <w:rPr>
          <w:rFonts w:ascii="Times New Roman" w:hAnsi="Times New Roman" w:cs="Times New Roman"/>
          <w:sz w:val="24"/>
          <w:szCs w:val="24"/>
        </w:rPr>
        <w:t>the exchange of critical documents;</w:t>
      </w:r>
      <w:r>
        <w:rPr>
          <w:rStyle w:val="FootnoteReference"/>
          <w:rFonts w:ascii="Times New Roman" w:hAnsi="Times New Roman" w:cs="Times New Roman"/>
          <w:spacing w:val="-2"/>
          <w:sz w:val="24"/>
        </w:rPr>
        <w:footnoteReference w:id="2"/>
      </w:r>
    </w:p>
    <w:p w14:paraId="15628553" w14:textId="7CE5047F" w:rsidR="00972FAC" w:rsidRPr="00972FAC" w:rsidRDefault="00972FAC" w:rsidP="00972FAC">
      <w:pPr>
        <w:pStyle w:val="ListParagraph"/>
        <w:numPr>
          <w:ilvl w:val="0"/>
          <w:numId w:val="11"/>
        </w:numPr>
        <w:spacing w:after="0" w:line="360" w:lineRule="auto"/>
        <w:ind w:left="1276" w:hanging="556"/>
        <w:jc w:val="both"/>
        <w:rPr>
          <w:rFonts w:ascii="Times New Roman" w:hAnsi="Times New Roman" w:cs="Times New Roman"/>
          <w:sz w:val="28"/>
          <w:szCs w:val="28"/>
        </w:rPr>
      </w:pPr>
      <w:r>
        <w:rPr>
          <w:rFonts w:ascii="Times New Roman" w:hAnsi="Times New Roman" w:cs="Times New Roman"/>
          <w:sz w:val="24"/>
          <w:szCs w:val="24"/>
        </w:rPr>
        <w:t>specific disclosure directions;</w:t>
      </w:r>
      <w:r w:rsidR="00296399">
        <w:rPr>
          <w:rStyle w:val="FootnoteReference"/>
          <w:rFonts w:ascii="Times New Roman" w:hAnsi="Times New Roman" w:cs="Times New Roman"/>
          <w:sz w:val="24"/>
          <w:szCs w:val="24"/>
        </w:rPr>
        <w:footnoteReference w:id="3"/>
      </w:r>
    </w:p>
    <w:p w14:paraId="51AC3B29" w14:textId="083F25AC" w:rsidR="00972FAC" w:rsidRPr="00972FAC" w:rsidRDefault="00972FAC" w:rsidP="00972FAC">
      <w:pPr>
        <w:pStyle w:val="ListParagraph"/>
        <w:numPr>
          <w:ilvl w:val="0"/>
          <w:numId w:val="11"/>
        </w:numPr>
        <w:spacing w:after="0" w:line="360" w:lineRule="auto"/>
        <w:ind w:left="1276" w:hanging="556"/>
        <w:jc w:val="both"/>
        <w:rPr>
          <w:rFonts w:ascii="Times New Roman" w:hAnsi="Times New Roman" w:cs="Times New Roman"/>
          <w:sz w:val="28"/>
          <w:szCs w:val="28"/>
        </w:rPr>
      </w:pPr>
      <w:r>
        <w:rPr>
          <w:rFonts w:ascii="Times New Roman" w:hAnsi="Times New Roman" w:cs="Times New Roman"/>
          <w:sz w:val="24"/>
          <w:szCs w:val="24"/>
        </w:rPr>
        <w:t xml:space="preserve">the </w:t>
      </w:r>
      <w:r w:rsidRPr="00972FAC">
        <w:rPr>
          <w:rFonts w:ascii="Times New Roman" w:hAnsi="Times New Roman" w:cs="Times New Roman"/>
          <w:sz w:val="24"/>
          <w:szCs w:val="24"/>
        </w:rPr>
        <w:t>exchange or disclosure of documents to be relied upon, supplemented by additional requested documents; and</w:t>
      </w:r>
    </w:p>
    <w:p w14:paraId="2F3360B1" w14:textId="0C1E5267" w:rsidR="00735453" w:rsidRPr="00972FAC" w:rsidRDefault="00972FAC" w:rsidP="00972FAC">
      <w:pPr>
        <w:pStyle w:val="ListParagraph"/>
        <w:numPr>
          <w:ilvl w:val="0"/>
          <w:numId w:val="11"/>
        </w:numPr>
        <w:spacing w:after="0" w:line="360" w:lineRule="auto"/>
        <w:ind w:left="1276" w:hanging="556"/>
        <w:jc w:val="both"/>
        <w:rPr>
          <w:rFonts w:ascii="Times New Roman" w:hAnsi="Times New Roman" w:cs="Times New Roman"/>
          <w:sz w:val="28"/>
          <w:szCs w:val="28"/>
        </w:rPr>
      </w:pPr>
      <w:r w:rsidRPr="00972FAC">
        <w:rPr>
          <w:rFonts w:ascii="Times New Roman" w:hAnsi="Times New Roman" w:cs="Times New Roman"/>
          <w:sz w:val="24"/>
          <w:szCs w:val="24"/>
        </w:rPr>
        <w:t>the</w:t>
      </w:r>
      <w:r>
        <w:rPr>
          <w:rFonts w:ascii="Times New Roman" w:hAnsi="Times New Roman" w:cs="Times New Roman"/>
          <w:sz w:val="24"/>
          <w:szCs w:val="24"/>
        </w:rPr>
        <w:t xml:space="preserve"> </w:t>
      </w:r>
      <w:r w:rsidRPr="00A04232">
        <w:rPr>
          <w:rFonts w:ascii="Times New Roman" w:hAnsi="Times New Roman" w:cs="Times New Roman"/>
          <w:sz w:val="24"/>
        </w:rPr>
        <w:t xml:space="preserve">exchange </w:t>
      </w:r>
      <w:r>
        <w:rPr>
          <w:rFonts w:ascii="Times New Roman" w:hAnsi="Times New Roman" w:cs="Times New Roman"/>
          <w:sz w:val="24"/>
        </w:rPr>
        <w:t xml:space="preserve">or disclosure </w:t>
      </w:r>
      <w:r w:rsidRPr="00A04232">
        <w:rPr>
          <w:rFonts w:ascii="Times New Roman" w:hAnsi="Times New Roman" w:cs="Times New Roman"/>
          <w:sz w:val="24"/>
        </w:rPr>
        <w:t xml:space="preserve">of documents limited to certain categories of documents or </w:t>
      </w:r>
      <w:r w:rsidR="00296399" w:rsidRPr="004D1BE8">
        <w:rPr>
          <w:rFonts w:ascii="Times New Roman" w:hAnsi="Times New Roman" w:cs="Times New Roman"/>
          <w:sz w:val="24"/>
        </w:rPr>
        <w:t xml:space="preserve">directions </w:t>
      </w:r>
      <w:r w:rsidRPr="004D1BE8">
        <w:rPr>
          <w:rFonts w:ascii="Times New Roman" w:hAnsi="Times New Roman" w:cs="Times New Roman"/>
          <w:sz w:val="24"/>
        </w:rPr>
        <w:t>that exclude</w:t>
      </w:r>
      <w:r w:rsidRPr="00A04232">
        <w:rPr>
          <w:rFonts w:ascii="Times New Roman" w:hAnsi="Times New Roman" w:cs="Times New Roman"/>
          <w:sz w:val="24"/>
        </w:rPr>
        <w:t xml:space="preserve"> certain categories of documents.</w:t>
      </w:r>
    </w:p>
    <w:p w14:paraId="651AEE84" w14:textId="77777777" w:rsidR="00972FAC" w:rsidRPr="00972FAC" w:rsidRDefault="00972FAC" w:rsidP="00972FAC">
      <w:pPr>
        <w:spacing w:after="0" w:line="360" w:lineRule="auto"/>
        <w:jc w:val="both"/>
        <w:rPr>
          <w:rFonts w:ascii="Times New Roman" w:hAnsi="Times New Roman" w:cs="Times New Roman"/>
          <w:sz w:val="28"/>
          <w:szCs w:val="28"/>
        </w:rPr>
      </w:pPr>
    </w:p>
    <w:p w14:paraId="7010E7F1" w14:textId="3ABCA91E" w:rsidR="00C24192" w:rsidRDefault="00A04232" w:rsidP="00D946A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Guidance on these matters is provided in specific notes</w:t>
      </w:r>
      <w:r w:rsidR="00972FAC">
        <w:rPr>
          <w:rFonts w:ascii="Times New Roman" w:hAnsi="Times New Roman" w:cs="Times New Roman"/>
          <w:sz w:val="24"/>
          <w:szCs w:val="24"/>
        </w:rPr>
        <w:t>:</w:t>
      </w:r>
    </w:p>
    <w:p w14:paraId="09AAF245" w14:textId="3EBCCE67" w:rsidR="00972FAC" w:rsidRPr="00972FAC" w:rsidRDefault="00296399" w:rsidP="00972FAC">
      <w:pPr>
        <w:pStyle w:val="ListParagraph"/>
        <w:numPr>
          <w:ilvl w:val="0"/>
          <w:numId w:val="12"/>
        </w:numPr>
        <w:spacing w:after="0" w:line="360" w:lineRule="auto"/>
        <w:ind w:left="1276" w:hanging="556"/>
        <w:jc w:val="both"/>
        <w:rPr>
          <w:rFonts w:ascii="Times New Roman" w:hAnsi="Times New Roman" w:cs="Times New Roman"/>
          <w:color w:val="2F5496" w:themeColor="accent1" w:themeShade="BF"/>
          <w:sz w:val="28"/>
          <w:szCs w:val="28"/>
        </w:rPr>
      </w:pPr>
      <w:r>
        <w:rPr>
          <w:rFonts w:ascii="Times New Roman" w:hAnsi="Times New Roman" w:cs="Times New Roman"/>
          <w:color w:val="2F5496" w:themeColor="accent1" w:themeShade="BF"/>
          <w:sz w:val="24"/>
          <w:szCs w:val="24"/>
        </w:rPr>
        <w:t xml:space="preserve">[link to </w:t>
      </w:r>
      <w:r w:rsidR="00972FAC" w:rsidRPr="00972FAC">
        <w:rPr>
          <w:rFonts w:ascii="Times New Roman" w:hAnsi="Times New Roman" w:cs="Times New Roman"/>
          <w:color w:val="2F5496" w:themeColor="accent1" w:themeShade="BF"/>
          <w:sz w:val="24"/>
          <w:szCs w:val="24"/>
        </w:rPr>
        <w:t>Critical Documents</w:t>
      </w:r>
      <w:r>
        <w:rPr>
          <w:rFonts w:ascii="Times New Roman" w:hAnsi="Times New Roman" w:cs="Times New Roman"/>
          <w:color w:val="2F5496" w:themeColor="accent1" w:themeShade="BF"/>
          <w:sz w:val="24"/>
          <w:szCs w:val="24"/>
        </w:rPr>
        <w:t xml:space="preserve"> Guidelines and Draft Directions</w:t>
      </w:r>
      <w:r w:rsidR="00972FAC" w:rsidRPr="00972FAC">
        <w:rPr>
          <w:rFonts w:ascii="Times New Roman" w:hAnsi="Times New Roman" w:cs="Times New Roman"/>
          <w:color w:val="2F5496" w:themeColor="accent1" w:themeShade="BF"/>
          <w:sz w:val="24"/>
          <w:szCs w:val="24"/>
        </w:rPr>
        <w:t>]</w:t>
      </w:r>
    </w:p>
    <w:p w14:paraId="32776407" w14:textId="6C470A33" w:rsidR="00673090" w:rsidRPr="00972FAC" w:rsidRDefault="00673090" w:rsidP="00972FAC">
      <w:pPr>
        <w:pStyle w:val="ListParagraph"/>
        <w:numPr>
          <w:ilvl w:val="0"/>
          <w:numId w:val="12"/>
        </w:numPr>
        <w:spacing w:after="0" w:line="360" w:lineRule="auto"/>
        <w:ind w:left="1276" w:hanging="556"/>
        <w:jc w:val="both"/>
        <w:rPr>
          <w:rFonts w:ascii="Times New Roman" w:hAnsi="Times New Roman" w:cs="Times New Roman"/>
          <w:color w:val="2F5496" w:themeColor="accent1" w:themeShade="BF"/>
          <w:sz w:val="28"/>
          <w:szCs w:val="28"/>
        </w:rPr>
      </w:pPr>
      <w:r w:rsidRPr="00972FAC">
        <w:rPr>
          <w:rFonts w:ascii="Times New Roman" w:hAnsi="Times New Roman" w:cs="Times New Roman"/>
          <w:color w:val="2F5496" w:themeColor="accent1" w:themeShade="BF"/>
          <w:sz w:val="24"/>
          <w:szCs w:val="24"/>
        </w:rPr>
        <w:t xml:space="preserve">[link to Specific Disclosure </w:t>
      </w:r>
      <w:r w:rsidR="00296399">
        <w:rPr>
          <w:rFonts w:ascii="Times New Roman" w:hAnsi="Times New Roman" w:cs="Times New Roman"/>
          <w:color w:val="2F5496" w:themeColor="accent1" w:themeShade="BF"/>
          <w:sz w:val="24"/>
          <w:szCs w:val="24"/>
        </w:rPr>
        <w:t xml:space="preserve">Draft </w:t>
      </w:r>
      <w:r w:rsidRPr="00972FAC">
        <w:rPr>
          <w:rFonts w:ascii="Times New Roman" w:hAnsi="Times New Roman" w:cs="Times New Roman"/>
          <w:color w:val="2F5496" w:themeColor="accent1" w:themeShade="BF"/>
          <w:sz w:val="24"/>
          <w:szCs w:val="24"/>
        </w:rPr>
        <w:t>Directions]</w:t>
      </w:r>
    </w:p>
    <w:sectPr w:rsidR="00673090" w:rsidRPr="00972FA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B349" w14:textId="77777777" w:rsidR="00BC1C42" w:rsidRDefault="00BC1C42" w:rsidP="00BC1C42">
      <w:pPr>
        <w:spacing w:after="0" w:line="240" w:lineRule="auto"/>
      </w:pPr>
      <w:r>
        <w:separator/>
      </w:r>
    </w:p>
  </w:endnote>
  <w:endnote w:type="continuationSeparator" w:id="0">
    <w:p w14:paraId="29B3A975" w14:textId="77777777" w:rsidR="00BC1C42" w:rsidRDefault="00BC1C42" w:rsidP="00BC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E686" w14:textId="77777777" w:rsidR="00A425F1" w:rsidRDefault="00A42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476141"/>
      <w:docPartObj>
        <w:docPartGallery w:val="Page Numbers (Bottom of Page)"/>
        <w:docPartUnique/>
      </w:docPartObj>
    </w:sdtPr>
    <w:sdtEndPr>
      <w:rPr>
        <w:noProof/>
      </w:rPr>
    </w:sdtEndPr>
    <w:sdtContent>
      <w:p w14:paraId="1FD5BD5B" w14:textId="2DB69B14" w:rsidR="00BC1C42" w:rsidRDefault="00BC1C42">
        <w:pPr>
          <w:pStyle w:val="Footer"/>
          <w:jc w:val="center"/>
        </w:pPr>
        <w:r>
          <w:fldChar w:fldCharType="begin"/>
        </w:r>
        <w:r>
          <w:instrText xml:space="preserve"> PAGE   \* MERGEFORMAT </w:instrText>
        </w:r>
        <w:r>
          <w:fldChar w:fldCharType="separate"/>
        </w:r>
        <w:r w:rsidR="00296399">
          <w:rPr>
            <w:noProof/>
          </w:rPr>
          <w:t>4</w:t>
        </w:r>
        <w:r>
          <w:rPr>
            <w:noProof/>
          </w:rPr>
          <w:fldChar w:fldCharType="end"/>
        </w:r>
      </w:p>
    </w:sdtContent>
  </w:sdt>
  <w:p w14:paraId="290071E7" w14:textId="77777777" w:rsidR="00BC1C42" w:rsidRDefault="00BC1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50B8" w14:textId="77777777" w:rsidR="00A425F1" w:rsidRDefault="00A42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D296" w14:textId="77777777" w:rsidR="00BC1C42" w:rsidRDefault="00BC1C42" w:rsidP="00BC1C42">
      <w:pPr>
        <w:spacing w:after="0" w:line="240" w:lineRule="auto"/>
      </w:pPr>
      <w:r>
        <w:separator/>
      </w:r>
    </w:p>
  </w:footnote>
  <w:footnote w:type="continuationSeparator" w:id="0">
    <w:p w14:paraId="236FA05C" w14:textId="77777777" w:rsidR="00BC1C42" w:rsidRDefault="00BC1C42" w:rsidP="00BC1C42">
      <w:pPr>
        <w:spacing w:after="0" w:line="240" w:lineRule="auto"/>
      </w:pPr>
      <w:r>
        <w:continuationSeparator/>
      </w:r>
    </w:p>
  </w:footnote>
  <w:footnote w:id="1">
    <w:p w14:paraId="7EB56582" w14:textId="77777777" w:rsidR="00972FAC" w:rsidRDefault="00972FAC" w:rsidP="00972FAC">
      <w:pPr>
        <w:pStyle w:val="FootnoteText"/>
      </w:pPr>
      <w:r w:rsidRPr="002407D4">
        <w:rPr>
          <w:rStyle w:val="FootnoteReference"/>
          <w:rFonts w:ascii="Times New Roman" w:hAnsi="Times New Roman" w:cs="Times New Roman"/>
        </w:rPr>
        <w:footnoteRef/>
      </w:r>
      <w:r w:rsidRPr="002407D4">
        <w:rPr>
          <w:rFonts w:ascii="Times New Roman" w:hAnsi="Times New Roman" w:cs="Times New Roman"/>
        </w:rPr>
        <w:t xml:space="preserve"> </w:t>
      </w:r>
      <w:r w:rsidRPr="002407D4">
        <w:rPr>
          <w:rFonts w:ascii="Times New Roman" w:hAnsi="Times New Roman" w:cs="Times New Roman"/>
        </w:rPr>
        <w:tab/>
      </w:r>
      <w:r w:rsidRPr="00972FAC">
        <w:rPr>
          <w:rFonts w:ascii="Times New Roman" w:hAnsi="Times New Roman" w:cs="Times New Roman"/>
        </w:rPr>
        <w:t xml:space="preserve">This last possible course reflects Practice Note SC Eq 11 in the Supreme Court of New South Wales which has been said to be “effective in reducing cost and delay.  In the vast majority of cases, the practical reality is that discovery before evidence is not genuinely needed (and never was).  Many commercial disputes are about the nature and effect of communications between the parties and all parties usually know enough about their position to put on their evidence without the necessity for prior disclosure.  It has encouraged parties to examine the real issues in the case early and has engendered a more disciplined analysis of the need for disclosure by reference to those real issues.’’:  </w:t>
      </w:r>
      <w:r w:rsidRPr="00972FAC">
        <w:rPr>
          <w:rFonts w:ascii="Times New Roman" w:hAnsi="Times New Roman" w:cs="Times New Roman"/>
          <w:i/>
          <w:iCs/>
        </w:rPr>
        <w:t xml:space="preserve">Hammerschlag’s Commercial Court Handbook </w:t>
      </w:r>
      <w:r w:rsidRPr="00972FAC">
        <w:rPr>
          <w:rFonts w:ascii="Times New Roman" w:hAnsi="Times New Roman" w:cs="Times New Roman"/>
        </w:rPr>
        <w:t>2</w:t>
      </w:r>
      <w:r w:rsidRPr="00972FAC">
        <w:rPr>
          <w:rFonts w:ascii="Times New Roman" w:hAnsi="Times New Roman" w:cs="Times New Roman"/>
          <w:vertAlign w:val="superscript"/>
        </w:rPr>
        <w:t>nd</w:t>
      </w:r>
      <w:r w:rsidRPr="00972FAC">
        <w:rPr>
          <w:rFonts w:ascii="Times New Roman" w:hAnsi="Times New Roman" w:cs="Times New Roman"/>
        </w:rPr>
        <w:t xml:space="preserve"> ed 2.26.10</w:t>
      </w:r>
    </w:p>
  </w:footnote>
  <w:footnote w:id="2">
    <w:p w14:paraId="4C09A49F" w14:textId="76667A89" w:rsidR="00972FAC" w:rsidRPr="004D1BE8" w:rsidRDefault="00972FAC" w:rsidP="00972FAC">
      <w:pPr>
        <w:pStyle w:val="FootnoteText"/>
        <w:rPr>
          <w:rFonts w:ascii="Times New Roman" w:hAnsi="Times New Roman" w:cs="Times New Roman"/>
        </w:rPr>
      </w:pPr>
      <w:r w:rsidRPr="002407D4">
        <w:rPr>
          <w:rStyle w:val="FootnoteReference"/>
          <w:rFonts w:ascii="Times New Roman" w:hAnsi="Times New Roman" w:cs="Times New Roman"/>
        </w:rPr>
        <w:footnoteRef/>
      </w:r>
      <w:r w:rsidRPr="002407D4">
        <w:rPr>
          <w:rFonts w:ascii="Times New Roman" w:hAnsi="Times New Roman" w:cs="Times New Roman"/>
        </w:rPr>
        <w:t xml:space="preserve"> </w:t>
      </w:r>
      <w:r w:rsidRPr="002407D4">
        <w:rPr>
          <w:rFonts w:ascii="Times New Roman" w:hAnsi="Times New Roman" w:cs="Times New Roman"/>
        </w:rPr>
        <w:tab/>
        <w:t xml:space="preserve">See PD 18 of 2018 [11] </w:t>
      </w:r>
      <w:r w:rsidRPr="004D1BE8">
        <w:rPr>
          <w:rFonts w:ascii="Times New Roman" w:hAnsi="Times New Roman" w:cs="Times New Roman"/>
        </w:rPr>
        <w:t xml:space="preserve">and </w:t>
      </w:r>
      <w:r w:rsidR="00296399" w:rsidRPr="004D1BE8">
        <w:rPr>
          <w:rFonts w:ascii="Times New Roman" w:hAnsi="Times New Roman" w:cs="Times New Roman"/>
        </w:rPr>
        <w:t xml:space="preserve">Note on “Critical Document Guidelines and Draft Directions” </w:t>
      </w:r>
      <w:r w:rsidR="00296399" w:rsidRPr="004D1BE8">
        <w:rPr>
          <w:rFonts w:ascii="Times New Roman" w:hAnsi="Times New Roman" w:cs="Times New Roman"/>
          <w:color w:val="2F5496" w:themeColor="accent1" w:themeShade="BF"/>
        </w:rPr>
        <w:t>[insert link]</w:t>
      </w:r>
    </w:p>
  </w:footnote>
  <w:footnote w:id="3">
    <w:p w14:paraId="78EA7046" w14:textId="4F1C4A97" w:rsidR="00296399" w:rsidRPr="00296399" w:rsidRDefault="00296399">
      <w:pPr>
        <w:pStyle w:val="FootnoteText"/>
        <w:rPr>
          <w:rFonts w:ascii="Times New Roman" w:hAnsi="Times New Roman" w:cs="Times New Roman"/>
          <w:lang w:val="en-US"/>
        </w:rPr>
      </w:pPr>
      <w:r w:rsidRPr="004D1BE8">
        <w:rPr>
          <w:rStyle w:val="FootnoteReference"/>
        </w:rPr>
        <w:footnoteRef/>
      </w:r>
      <w:r w:rsidRPr="004D1BE8">
        <w:t xml:space="preserve"> </w:t>
      </w:r>
      <w:r w:rsidRPr="004D1BE8">
        <w:tab/>
      </w:r>
      <w:r w:rsidRPr="004D1BE8">
        <w:rPr>
          <w:rFonts w:ascii="Times New Roman" w:hAnsi="Times New Roman" w:cs="Times New Roman"/>
        </w:rPr>
        <w:t xml:space="preserve">See Note on “Specific Disclosure Draft Directions” </w:t>
      </w:r>
      <w:r w:rsidRPr="004D1BE8">
        <w:rPr>
          <w:rFonts w:ascii="Times New Roman" w:hAnsi="Times New Roman" w:cs="Times New Roman"/>
          <w:color w:val="2F5496" w:themeColor="accent1" w:themeShade="BF"/>
        </w:rPr>
        <w:t>[insert 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6614" w14:textId="77777777" w:rsidR="00A425F1" w:rsidRDefault="00A42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028063"/>
      <w:docPartObj>
        <w:docPartGallery w:val="Watermarks"/>
        <w:docPartUnique/>
      </w:docPartObj>
    </w:sdtPr>
    <w:sdtContent>
      <w:p w14:paraId="59B828DE" w14:textId="6B522027" w:rsidR="00A425F1" w:rsidRDefault="00A425F1">
        <w:pPr>
          <w:pStyle w:val="Header"/>
        </w:pPr>
        <w:r>
          <w:rPr>
            <w:noProof/>
          </w:rPr>
          <w:pict w14:anchorId="333C6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F448" w14:textId="77777777" w:rsidR="00A425F1" w:rsidRDefault="00A42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3A62"/>
    <w:multiLevelType w:val="hybridMultilevel"/>
    <w:tmpl w:val="11CAD3E8"/>
    <w:lvl w:ilvl="0" w:tplc="0C090001">
      <w:start w:val="1"/>
      <w:numFmt w:val="bullet"/>
      <w:lvlText w:val=""/>
      <w:lvlJc w:val="left"/>
      <w:pPr>
        <w:ind w:left="4545" w:hanging="360"/>
      </w:pPr>
      <w:rPr>
        <w:rFonts w:ascii="Symbol" w:hAnsi="Symbol" w:hint="default"/>
      </w:rPr>
    </w:lvl>
    <w:lvl w:ilvl="1" w:tplc="0C090003" w:tentative="1">
      <w:start w:val="1"/>
      <w:numFmt w:val="bullet"/>
      <w:lvlText w:val="o"/>
      <w:lvlJc w:val="left"/>
      <w:pPr>
        <w:ind w:left="5265" w:hanging="360"/>
      </w:pPr>
      <w:rPr>
        <w:rFonts w:ascii="Courier New" w:hAnsi="Courier New" w:cs="Courier New" w:hint="default"/>
      </w:rPr>
    </w:lvl>
    <w:lvl w:ilvl="2" w:tplc="0C090005" w:tentative="1">
      <w:start w:val="1"/>
      <w:numFmt w:val="bullet"/>
      <w:lvlText w:val=""/>
      <w:lvlJc w:val="left"/>
      <w:pPr>
        <w:ind w:left="5985" w:hanging="360"/>
      </w:pPr>
      <w:rPr>
        <w:rFonts w:ascii="Wingdings" w:hAnsi="Wingdings" w:hint="default"/>
      </w:rPr>
    </w:lvl>
    <w:lvl w:ilvl="3" w:tplc="0C090001" w:tentative="1">
      <w:start w:val="1"/>
      <w:numFmt w:val="bullet"/>
      <w:lvlText w:val=""/>
      <w:lvlJc w:val="left"/>
      <w:pPr>
        <w:ind w:left="6705" w:hanging="360"/>
      </w:pPr>
      <w:rPr>
        <w:rFonts w:ascii="Symbol" w:hAnsi="Symbol" w:hint="default"/>
      </w:rPr>
    </w:lvl>
    <w:lvl w:ilvl="4" w:tplc="0C090003" w:tentative="1">
      <w:start w:val="1"/>
      <w:numFmt w:val="bullet"/>
      <w:lvlText w:val="o"/>
      <w:lvlJc w:val="left"/>
      <w:pPr>
        <w:ind w:left="7425" w:hanging="360"/>
      </w:pPr>
      <w:rPr>
        <w:rFonts w:ascii="Courier New" w:hAnsi="Courier New" w:cs="Courier New" w:hint="default"/>
      </w:rPr>
    </w:lvl>
    <w:lvl w:ilvl="5" w:tplc="0C090005" w:tentative="1">
      <w:start w:val="1"/>
      <w:numFmt w:val="bullet"/>
      <w:lvlText w:val=""/>
      <w:lvlJc w:val="left"/>
      <w:pPr>
        <w:ind w:left="8145" w:hanging="360"/>
      </w:pPr>
      <w:rPr>
        <w:rFonts w:ascii="Wingdings" w:hAnsi="Wingdings" w:hint="default"/>
      </w:rPr>
    </w:lvl>
    <w:lvl w:ilvl="6" w:tplc="0C090001" w:tentative="1">
      <w:start w:val="1"/>
      <w:numFmt w:val="bullet"/>
      <w:lvlText w:val=""/>
      <w:lvlJc w:val="left"/>
      <w:pPr>
        <w:ind w:left="8865" w:hanging="360"/>
      </w:pPr>
      <w:rPr>
        <w:rFonts w:ascii="Symbol" w:hAnsi="Symbol" w:hint="default"/>
      </w:rPr>
    </w:lvl>
    <w:lvl w:ilvl="7" w:tplc="0C090003" w:tentative="1">
      <w:start w:val="1"/>
      <w:numFmt w:val="bullet"/>
      <w:lvlText w:val="o"/>
      <w:lvlJc w:val="left"/>
      <w:pPr>
        <w:ind w:left="9585" w:hanging="360"/>
      </w:pPr>
      <w:rPr>
        <w:rFonts w:ascii="Courier New" w:hAnsi="Courier New" w:cs="Courier New" w:hint="default"/>
      </w:rPr>
    </w:lvl>
    <w:lvl w:ilvl="8" w:tplc="0C090005" w:tentative="1">
      <w:start w:val="1"/>
      <w:numFmt w:val="bullet"/>
      <w:lvlText w:val=""/>
      <w:lvlJc w:val="left"/>
      <w:pPr>
        <w:ind w:left="10305" w:hanging="360"/>
      </w:pPr>
      <w:rPr>
        <w:rFonts w:ascii="Wingdings" w:hAnsi="Wingdings" w:hint="default"/>
      </w:rPr>
    </w:lvl>
  </w:abstractNum>
  <w:abstractNum w:abstractNumId="1" w15:restartNumberingAfterBreak="0">
    <w:nsid w:val="14AD68EF"/>
    <w:multiLevelType w:val="hybridMultilevel"/>
    <w:tmpl w:val="41BAE9A2"/>
    <w:lvl w:ilvl="0" w:tplc="ED1E3F2E">
      <w:start w:val="2"/>
      <w:numFmt w:val="lowerLetter"/>
      <w:lvlText w:val="(%1)"/>
      <w:lvlJc w:val="left"/>
      <w:pPr>
        <w:ind w:left="930" w:hanging="360"/>
      </w:pPr>
      <w:rPr>
        <w:rFonts w:hint="default"/>
      </w:rPr>
    </w:lvl>
    <w:lvl w:ilvl="1" w:tplc="0C090019">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 w15:restartNumberingAfterBreak="0">
    <w:nsid w:val="1626619F"/>
    <w:multiLevelType w:val="hybridMultilevel"/>
    <w:tmpl w:val="AA3C31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BFE5EF4"/>
    <w:multiLevelType w:val="multilevel"/>
    <w:tmpl w:val="0CB264FC"/>
    <w:lvl w:ilvl="0">
      <w:start w:val="6"/>
      <w:numFmt w:val="decimal"/>
      <w:lvlText w:val="%1."/>
      <w:lvlJc w:val="left"/>
      <w:pPr>
        <w:ind w:left="819" w:hanging="680"/>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86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3)"/>
      <w:lvlJc w:val="left"/>
      <w:pPr>
        <w:ind w:left="158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3">
      <w:numFmt w:val="bullet"/>
      <w:lvlText w:val="•"/>
      <w:lvlJc w:val="left"/>
      <w:pPr>
        <w:ind w:left="1580" w:hanging="720"/>
      </w:pPr>
      <w:rPr>
        <w:rFonts w:hint="default"/>
        <w:lang w:val="en-US" w:eastAsia="en-US" w:bidi="ar-SA"/>
      </w:rPr>
    </w:lvl>
    <w:lvl w:ilvl="4">
      <w:numFmt w:val="bullet"/>
      <w:lvlText w:val="•"/>
      <w:lvlJc w:val="left"/>
      <w:pPr>
        <w:ind w:left="2682" w:hanging="720"/>
      </w:pPr>
      <w:rPr>
        <w:rFonts w:hint="default"/>
        <w:lang w:val="en-US" w:eastAsia="en-US" w:bidi="ar-SA"/>
      </w:rPr>
    </w:lvl>
    <w:lvl w:ilvl="5">
      <w:numFmt w:val="bullet"/>
      <w:lvlText w:val="•"/>
      <w:lvlJc w:val="left"/>
      <w:pPr>
        <w:ind w:left="3785" w:hanging="720"/>
      </w:pPr>
      <w:rPr>
        <w:rFonts w:hint="default"/>
        <w:lang w:val="en-US" w:eastAsia="en-US" w:bidi="ar-SA"/>
      </w:rPr>
    </w:lvl>
    <w:lvl w:ilvl="6">
      <w:numFmt w:val="bullet"/>
      <w:lvlText w:val="•"/>
      <w:lvlJc w:val="left"/>
      <w:pPr>
        <w:ind w:left="4888" w:hanging="720"/>
      </w:pPr>
      <w:rPr>
        <w:rFonts w:hint="default"/>
        <w:lang w:val="en-US" w:eastAsia="en-US" w:bidi="ar-SA"/>
      </w:rPr>
    </w:lvl>
    <w:lvl w:ilvl="7">
      <w:numFmt w:val="bullet"/>
      <w:lvlText w:val="•"/>
      <w:lvlJc w:val="left"/>
      <w:pPr>
        <w:ind w:left="5991" w:hanging="720"/>
      </w:pPr>
      <w:rPr>
        <w:rFonts w:hint="default"/>
        <w:lang w:val="en-US" w:eastAsia="en-US" w:bidi="ar-SA"/>
      </w:rPr>
    </w:lvl>
    <w:lvl w:ilvl="8">
      <w:numFmt w:val="bullet"/>
      <w:lvlText w:val="•"/>
      <w:lvlJc w:val="left"/>
      <w:pPr>
        <w:ind w:left="7094" w:hanging="720"/>
      </w:pPr>
      <w:rPr>
        <w:rFonts w:hint="default"/>
        <w:lang w:val="en-US" w:eastAsia="en-US" w:bidi="ar-SA"/>
      </w:rPr>
    </w:lvl>
  </w:abstractNum>
  <w:abstractNum w:abstractNumId="4" w15:restartNumberingAfterBreak="0">
    <w:nsid w:val="2E787B2B"/>
    <w:multiLevelType w:val="hybridMultilevel"/>
    <w:tmpl w:val="C4D256A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99078E5"/>
    <w:multiLevelType w:val="hybridMultilevel"/>
    <w:tmpl w:val="DDA6B204"/>
    <w:lvl w:ilvl="0" w:tplc="B3868C12">
      <w:start w:val="1"/>
      <w:numFmt w:val="decimal"/>
      <w:lvlText w:val="%1."/>
      <w:lvlJc w:val="left"/>
      <w:pPr>
        <w:tabs>
          <w:tab w:val="num" w:pos="720"/>
        </w:tabs>
        <w:ind w:left="720" w:hanging="720"/>
      </w:pPr>
      <w:rPr>
        <w:b w:val="0"/>
        <w:bCs w:val="0"/>
        <w:color w:val="auto"/>
        <w:sz w:val="22"/>
        <w:szCs w:val="22"/>
      </w:rPr>
    </w:lvl>
    <w:lvl w:ilvl="1" w:tplc="19927A16">
      <w:start w:val="1"/>
      <w:numFmt w:val="lowerLetter"/>
      <w:lvlText w:val="(%2)"/>
      <w:lvlJc w:val="left"/>
      <w:pPr>
        <w:ind w:left="1440" w:hanging="360"/>
      </w:pPr>
      <w:rPr>
        <w:rFonts w:ascii="Arial" w:eastAsiaTheme="minorHAnsi" w:hAnsi="Arial" w:cs="Arial"/>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9557A67"/>
    <w:multiLevelType w:val="hybridMultilevel"/>
    <w:tmpl w:val="3B4C3292"/>
    <w:lvl w:ilvl="0" w:tplc="817E573E">
      <w:numFmt w:val="bullet"/>
      <w:lvlText w:val=""/>
      <w:lvlJc w:val="left"/>
      <w:pPr>
        <w:ind w:left="1440" w:hanging="360"/>
      </w:pPr>
      <w:rPr>
        <w:rFonts w:ascii="Symbol" w:eastAsia="Symbol" w:hAnsi="Symbol" w:cs="Symbol" w:hint="default"/>
        <w:b w:val="0"/>
        <w:bCs w:val="0"/>
        <w:i w:val="0"/>
        <w:iCs w:val="0"/>
        <w:w w:val="100"/>
        <w:sz w:val="24"/>
        <w:szCs w:val="24"/>
        <w:lang w:val="en-US" w:eastAsia="en-US" w:bidi="ar-SA"/>
      </w:rPr>
    </w:lvl>
    <w:lvl w:ilvl="1" w:tplc="6876DD16">
      <w:numFmt w:val="bullet"/>
      <w:lvlText w:val="•"/>
      <w:lvlJc w:val="left"/>
      <w:pPr>
        <w:ind w:left="2248" w:hanging="360"/>
      </w:pPr>
      <w:rPr>
        <w:rFonts w:hint="default"/>
        <w:lang w:val="en-US" w:eastAsia="en-US" w:bidi="ar-SA"/>
      </w:rPr>
    </w:lvl>
    <w:lvl w:ilvl="2" w:tplc="50B0DBEC">
      <w:numFmt w:val="bullet"/>
      <w:lvlText w:val="•"/>
      <w:lvlJc w:val="left"/>
      <w:pPr>
        <w:ind w:left="3056" w:hanging="360"/>
      </w:pPr>
      <w:rPr>
        <w:rFonts w:hint="default"/>
        <w:lang w:val="en-US" w:eastAsia="en-US" w:bidi="ar-SA"/>
      </w:rPr>
    </w:lvl>
    <w:lvl w:ilvl="3" w:tplc="700A9A64">
      <w:numFmt w:val="bullet"/>
      <w:lvlText w:val="•"/>
      <w:lvlJc w:val="left"/>
      <w:pPr>
        <w:ind w:left="3864" w:hanging="360"/>
      </w:pPr>
      <w:rPr>
        <w:rFonts w:hint="default"/>
        <w:lang w:val="en-US" w:eastAsia="en-US" w:bidi="ar-SA"/>
      </w:rPr>
    </w:lvl>
    <w:lvl w:ilvl="4" w:tplc="5F5CAEEA">
      <w:numFmt w:val="bullet"/>
      <w:lvlText w:val="•"/>
      <w:lvlJc w:val="left"/>
      <w:pPr>
        <w:ind w:left="4672" w:hanging="360"/>
      </w:pPr>
      <w:rPr>
        <w:rFonts w:hint="default"/>
        <w:lang w:val="en-US" w:eastAsia="en-US" w:bidi="ar-SA"/>
      </w:rPr>
    </w:lvl>
    <w:lvl w:ilvl="5" w:tplc="F484F43C">
      <w:numFmt w:val="bullet"/>
      <w:lvlText w:val="•"/>
      <w:lvlJc w:val="left"/>
      <w:pPr>
        <w:ind w:left="5480" w:hanging="360"/>
      </w:pPr>
      <w:rPr>
        <w:rFonts w:hint="default"/>
        <w:lang w:val="en-US" w:eastAsia="en-US" w:bidi="ar-SA"/>
      </w:rPr>
    </w:lvl>
    <w:lvl w:ilvl="6" w:tplc="4D042734">
      <w:numFmt w:val="bullet"/>
      <w:lvlText w:val="•"/>
      <w:lvlJc w:val="left"/>
      <w:pPr>
        <w:ind w:left="6288" w:hanging="360"/>
      </w:pPr>
      <w:rPr>
        <w:rFonts w:hint="default"/>
        <w:lang w:val="en-US" w:eastAsia="en-US" w:bidi="ar-SA"/>
      </w:rPr>
    </w:lvl>
    <w:lvl w:ilvl="7" w:tplc="591C169E">
      <w:numFmt w:val="bullet"/>
      <w:lvlText w:val="•"/>
      <w:lvlJc w:val="left"/>
      <w:pPr>
        <w:ind w:left="7096" w:hanging="360"/>
      </w:pPr>
      <w:rPr>
        <w:rFonts w:hint="default"/>
        <w:lang w:val="en-US" w:eastAsia="en-US" w:bidi="ar-SA"/>
      </w:rPr>
    </w:lvl>
    <w:lvl w:ilvl="8" w:tplc="0FEAFA42">
      <w:numFmt w:val="bullet"/>
      <w:lvlText w:val="•"/>
      <w:lvlJc w:val="left"/>
      <w:pPr>
        <w:ind w:left="7904" w:hanging="360"/>
      </w:pPr>
      <w:rPr>
        <w:rFonts w:hint="default"/>
        <w:lang w:val="en-US" w:eastAsia="en-US" w:bidi="ar-SA"/>
      </w:rPr>
    </w:lvl>
  </w:abstractNum>
  <w:abstractNum w:abstractNumId="7" w15:restartNumberingAfterBreak="0">
    <w:nsid w:val="4F554395"/>
    <w:multiLevelType w:val="hybridMultilevel"/>
    <w:tmpl w:val="FCF840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591D0016"/>
    <w:multiLevelType w:val="hybridMultilevel"/>
    <w:tmpl w:val="3A66DEF8"/>
    <w:lvl w:ilvl="0" w:tplc="FFFFFFFF">
      <w:start w:val="1"/>
      <w:numFmt w:val="lowerLetter"/>
      <w:lvlText w:val="(%1)"/>
      <w:lvlJc w:val="left"/>
      <w:pPr>
        <w:ind w:left="1636" w:hanging="360"/>
      </w:pPr>
      <w:rPr>
        <w:rFonts w:hint="default"/>
        <w:sz w:val="22"/>
        <w:szCs w:val="22"/>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9" w15:restartNumberingAfterBreak="0">
    <w:nsid w:val="68D75D12"/>
    <w:multiLevelType w:val="hybridMultilevel"/>
    <w:tmpl w:val="3A66DEF8"/>
    <w:lvl w:ilvl="0" w:tplc="6E0E9A94">
      <w:start w:val="1"/>
      <w:numFmt w:val="lowerLetter"/>
      <w:lvlText w:val="(%1)"/>
      <w:lvlJc w:val="left"/>
      <w:pPr>
        <w:ind w:left="1080" w:hanging="360"/>
      </w:pPr>
      <w:rPr>
        <w:rFonts w:hint="default"/>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C1A559D"/>
    <w:multiLevelType w:val="hybridMultilevel"/>
    <w:tmpl w:val="3A66DEF8"/>
    <w:lvl w:ilvl="0" w:tplc="FFFFFFFF">
      <w:start w:val="1"/>
      <w:numFmt w:val="lowerLetter"/>
      <w:lvlText w:val="(%1)"/>
      <w:lvlJc w:val="left"/>
      <w:pPr>
        <w:ind w:left="1636" w:hanging="360"/>
      </w:pPr>
      <w:rPr>
        <w:rFonts w:hint="default"/>
        <w:sz w:val="22"/>
        <w:szCs w:val="22"/>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11" w15:restartNumberingAfterBreak="0">
    <w:nsid w:val="7EF54C44"/>
    <w:multiLevelType w:val="hybridMultilevel"/>
    <w:tmpl w:val="3A66DEF8"/>
    <w:lvl w:ilvl="0" w:tplc="FFFFFFFF">
      <w:start w:val="1"/>
      <w:numFmt w:val="lowerLetter"/>
      <w:lvlText w:val="(%1)"/>
      <w:lvlJc w:val="left"/>
      <w:pPr>
        <w:ind w:left="1636" w:hanging="360"/>
      </w:pPr>
      <w:rPr>
        <w:rFonts w:hint="default"/>
        <w:sz w:val="22"/>
        <w:szCs w:val="22"/>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num w:numId="1">
    <w:abstractNumId w:val="5"/>
  </w:num>
  <w:num w:numId="2">
    <w:abstractNumId w:val="2"/>
  </w:num>
  <w:num w:numId="3">
    <w:abstractNumId w:val="1"/>
  </w:num>
  <w:num w:numId="4">
    <w:abstractNumId w:val="7"/>
  </w:num>
  <w:num w:numId="5">
    <w:abstractNumId w:val="4"/>
  </w:num>
  <w:num w:numId="6">
    <w:abstractNumId w:val="6"/>
  </w:num>
  <w:num w:numId="7">
    <w:abstractNumId w:val="3"/>
  </w:num>
  <w:num w:numId="8">
    <w:abstractNumId w:val="0"/>
  </w:num>
  <w:num w:numId="9">
    <w:abstractNumId w:val="9"/>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D5C"/>
    <w:rsid w:val="00012868"/>
    <w:rsid w:val="000E2FA7"/>
    <w:rsid w:val="0011006C"/>
    <w:rsid w:val="001248D7"/>
    <w:rsid w:val="0014155D"/>
    <w:rsid w:val="00164EF5"/>
    <w:rsid w:val="001B2483"/>
    <w:rsid w:val="002407D4"/>
    <w:rsid w:val="00296399"/>
    <w:rsid w:val="003B6646"/>
    <w:rsid w:val="004802FF"/>
    <w:rsid w:val="00495D5C"/>
    <w:rsid w:val="004D1BE8"/>
    <w:rsid w:val="004E3B2F"/>
    <w:rsid w:val="00517C06"/>
    <w:rsid w:val="00554973"/>
    <w:rsid w:val="0059375C"/>
    <w:rsid w:val="00673090"/>
    <w:rsid w:val="00735453"/>
    <w:rsid w:val="00781FB2"/>
    <w:rsid w:val="0086600B"/>
    <w:rsid w:val="008672CA"/>
    <w:rsid w:val="00972FAC"/>
    <w:rsid w:val="00A04232"/>
    <w:rsid w:val="00A425F1"/>
    <w:rsid w:val="00AE5622"/>
    <w:rsid w:val="00B71BF7"/>
    <w:rsid w:val="00BC1C42"/>
    <w:rsid w:val="00BF6C42"/>
    <w:rsid w:val="00C24192"/>
    <w:rsid w:val="00CC3627"/>
    <w:rsid w:val="00D946A0"/>
    <w:rsid w:val="00DA6D0C"/>
    <w:rsid w:val="00DB0C88"/>
    <w:rsid w:val="00DD01F7"/>
    <w:rsid w:val="00DD4471"/>
    <w:rsid w:val="00DE501E"/>
    <w:rsid w:val="00E26F1C"/>
    <w:rsid w:val="00F911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4BEBC4"/>
  <w15:docId w15:val="{BBFAE855-0B72-4CFF-9C67-F8599DC7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D5C"/>
    <w:pPr>
      <w:ind w:left="720"/>
      <w:contextualSpacing/>
    </w:pPr>
  </w:style>
  <w:style w:type="character" w:styleId="Hyperlink">
    <w:name w:val="Hyperlink"/>
    <w:basedOn w:val="DefaultParagraphFont"/>
    <w:uiPriority w:val="99"/>
    <w:unhideWhenUsed/>
    <w:rsid w:val="001248D7"/>
    <w:rPr>
      <w:color w:val="0563C1" w:themeColor="hyperlink"/>
      <w:u w:val="single"/>
    </w:rPr>
  </w:style>
  <w:style w:type="character" w:customStyle="1" w:styleId="UnresolvedMention1">
    <w:name w:val="Unresolved Mention1"/>
    <w:basedOn w:val="DefaultParagraphFont"/>
    <w:uiPriority w:val="99"/>
    <w:semiHidden/>
    <w:unhideWhenUsed/>
    <w:rsid w:val="000E2FA7"/>
    <w:rPr>
      <w:color w:val="605E5C"/>
      <w:shd w:val="clear" w:color="auto" w:fill="E1DFDD"/>
    </w:rPr>
  </w:style>
  <w:style w:type="paragraph" w:styleId="Header">
    <w:name w:val="header"/>
    <w:basedOn w:val="Normal"/>
    <w:link w:val="HeaderChar"/>
    <w:uiPriority w:val="99"/>
    <w:unhideWhenUsed/>
    <w:rsid w:val="00BC1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C42"/>
  </w:style>
  <w:style w:type="paragraph" w:styleId="Footer">
    <w:name w:val="footer"/>
    <w:basedOn w:val="Normal"/>
    <w:link w:val="FooterChar"/>
    <w:uiPriority w:val="99"/>
    <w:unhideWhenUsed/>
    <w:rsid w:val="00BC1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C42"/>
  </w:style>
  <w:style w:type="paragraph" w:styleId="FootnoteText">
    <w:name w:val="footnote text"/>
    <w:basedOn w:val="Normal"/>
    <w:link w:val="FootnoteTextChar"/>
    <w:uiPriority w:val="99"/>
    <w:unhideWhenUsed/>
    <w:rsid w:val="00F911FB"/>
    <w:pPr>
      <w:spacing w:after="0" w:line="240" w:lineRule="auto"/>
    </w:pPr>
    <w:rPr>
      <w:sz w:val="20"/>
      <w:szCs w:val="20"/>
    </w:rPr>
  </w:style>
  <w:style w:type="character" w:customStyle="1" w:styleId="FootnoteTextChar">
    <w:name w:val="Footnote Text Char"/>
    <w:basedOn w:val="DefaultParagraphFont"/>
    <w:link w:val="FootnoteText"/>
    <w:uiPriority w:val="99"/>
    <w:rsid w:val="00F911FB"/>
    <w:rPr>
      <w:sz w:val="20"/>
      <w:szCs w:val="20"/>
    </w:rPr>
  </w:style>
  <w:style w:type="character" w:styleId="FootnoteReference">
    <w:name w:val="footnote reference"/>
    <w:basedOn w:val="DefaultParagraphFont"/>
    <w:uiPriority w:val="99"/>
    <w:unhideWhenUsed/>
    <w:rsid w:val="00F911FB"/>
    <w:rPr>
      <w:vertAlign w:val="superscript"/>
    </w:rPr>
  </w:style>
  <w:style w:type="character" w:styleId="CommentReference">
    <w:name w:val="annotation reference"/>
    <w:basedOn w:val="DefaultParagraphFont"/>
    <w:uiPriority w:val="99"/>
    <w:semiHidden/>
    <w:unhideWhenUsed/>
    <w:rsid w:val="00DD01F7"/>
    <w:rPr>
      <w:sz w:val="16"/>
      <w:szCs w:val="16"/>
    </w:rPr>
  </w:style>
  <w:style w:type="paragraph" w:styleId="CommentText">
    <w:name w:val="annotation text"/>
    <w:basedOn w:val="Normal"/>
    <w:link w:val="CommentTextChar"/>
    <w:uiPriority w:val="99"/>
    <w:semiHidden/>
    <w:unhideWhenUsed/>
    <w:rsid w:val="00DD01F7"/>
    <w:pPr>
      <w:spacing w:line="240" w:lineRule="auto"/>
    </w:pPr>
    <w:rPr>
      <w:sz w:val="20"/>
      <w:szCs w:val="20"/>
    </w:rPr>
  </w:style>
  <w:style w:type="character" w:customStyle="1" w:styleId="CommentTextChar">
    <w:name w:val="Comment Text Char"/>
    <w:basedOn w:val="DefaultParagraphFont"/>
    <w:link w:val="CommentText"/>
    <w:uiPriority w:val="99"/>
    <w:semiHidden/>
    <w:rsid w:val="00DD01F7"/>
    <w:rPr>
      <w:sz w:val="20"/>
      <w:szCs w:val="20"/>
    </w:rPr>
  </w:style>
  <w:style w:type="paragraph" w:styleId="CommentSubject">
    <w:name w:val="annotation subject"/>
    <w:basedOn w:val="CommentText"/>
    <w:next w:val="CommentText"/>
    <w:link w:val="CommentSubjectChar"/>
    <w:uiPriority w:val="99"/>
    <w:semiHidden/>
    <w:unhideWhenUsed/>
    <w:rsid w:val="00DD01F7"/>
    <w:rPr>
      <w:b/>
      <w:bCs/>
    </w:rPr>
  </w:style>
  <w:style w:type="character" w:customStyle="1" w:styleId="CommentSubjectChar">
    <w:name w:val="Comment Subject Char"/>
    <w:basedOn w:val="CommentTextChar"/>
    <w:link w:val="CommentSubject"/>
    <w:uiPriority w:val="99"/>
    <w:semiHidden/>
    <w:rsid w:val="00DD0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te.ApplegarthJ@courts.qld.gov.au" TargetMode="External"/><Relationship Id="rId13" Type="http://schemas.openxmlformats.org/officeDocument/2006/relationships/hyperlink" Target="mailto:Associate.CooperJ@courts.qld.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ssociate.KellyJ@courts.qld.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ociate.FreeburnJ@courts.qld.gov.au" TargetMode="External"/><Relationship Id="rId5" Type="http://schemas.openxmlformats.org/officeDocument/2006/relationships/webSettings" Target="webSettings.xml"/><Relationship Id="rId15" Type="http://schemas.openxmlformats.org/officeDocument/2006/relationships/hyperlink" Target="mailto:comcausemanager@justice.qld.gov.au" TargetMode="External"/><Relationship Id="rId23" Type="http://schemas.openxmlformats.org/officeDocument/2006/relationships/theme" Target="theme/theme1.xml"/><Relationship Id="rId10" Type="http://schemas.openxmlformats.org/officeDocument/2006/relationships/hyperlink" Target="mailto:Associate.BradleyJ@courts.qld.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ssociate.BrownJ@courts.qld.gov.au" TargetMode="External"/><Relationship Id="rId14" Type="http://schemas.openxmlformats.org/officeDocument/2006/relationships/hyperlink" Target="mailto:Associate.HindmanJ@courts.qld.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6DADB-EF2E-ED4A-99AD-F7452631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Applegarth</dc:creator>
  <cp:keywords/>
  <dc:description/>
  <cp:lastModifiedBy>Justice Martin</cp:lastModifiedBy>
  <cp:revision>28</cp:revision>
  <cp:lastPrinted>2022-08-29T22:46:00Z</cp:lastPrinted>
  <dcterms:created xsi:type="dcterms:W3CDTF">2022-08-28T21:58:00Z</dcterms:created>
  <dcterms:modified xsi:type="dcterms:W3CDTF">2022-12-04T22:37:00Z</dcterms:modified>
</cp:coreProperties>
</file>